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636"/>
        <w:gridCol w:w="9534"/>
      </w:tblGrid>
      <w:tr w:rsidR="007D4616" w:rsidRPr="007D4616" w14:paraId="3951F169" w14:textId="77777777" w:rsidTr="00381AC6">
        <w:trPr>
          <w:trHeight w:val="1620"/>
        </w:trPr>
        <w:tc>
          <w:tcPr>
            <w:tcW w:w="636" w:type="dxa"/>
            <w:noWrap/>
            <w:hideMark/>
          </w:tcPr>
          <w:p w14:paraId="4386C05F" w14:textId="563254FD" w:rsidR="007D4616" w:rsidRPr="007D4616" w:rsidRDefault="007D4616" w:rsidP="007D4616">
            <w:pPr>
              <w:rPr>
                <w:rFonts w:cs="Arial"/>
                <w:szCs w:val="18"/>
              </w:rPr>
            </w:pPr>
            <w:r w:rsidRPr="007D4616">
              <w:rPr>
                <w:rFonts w:cs="Arial"/>
                <w:szCs w:val="18"/>
              </w:rPr>
              <w:t>1</w:t>
            </w:r>
            <w:r>
              <w:rPr>
                <w:rFonts w:cs="Arial"/>
                <w:szCs w:val="18"/>
              </w:rPr>
              <w:t>.</w:t>
            </w:r>
          </w:p>
        </w:tc>
        <w:tc>
          <w:tcPr>
            <w:tcW w:w="9534" w:type="dxa"/>
            <w:hideMark/>
          </w:tcPr>
          <w:p w14:paraId="238ED36E" w14:textId="77777777" w:rsidR="007D4616" w:rsidRPr="007D4616" w:rsidRDefault="007D4616" w:rsidP="007D4616">
            <w:pPr>
              <w:rPr>
                <w:rFonts w:cs="Arial"/>
                <w:szCs w:val="18"/>
              </w:rPr>
            </w:pPr>
            <w:r w:rsidRPr="007D4616">
              <w:rPr>
                <w:rFonts w:cs="Arial"/>
                <w:b/>
                <w:bCs/>
                <w:szCs w:val="18"/>
              </w:rPr>
              <w:t>Warranty.</w:t>
            </w:r>
            <w:r w:rsidRPr="007D4616">
              <w:rPr>
                <w:rFonts w:cs="Arial"/>
                <w:szCs w:val="18"/>
              </w:rPr>
              <w:t xml:space="preserve">  SOUTHLAND INDUSTRIES shall furnish to Customer all manufacturers' parts and equipment warranties received by SOUTHLAND INDUSTRIES.  SOUTHLAND INDUSTRIES warrants materials only to the extent and for the time period said materials are warranted to SOUTHLAND INDUSTRIES by the manufacturer(s) of the same. SOUTHLAND INDUSTRIES' liability, if any, upon any warranty, either expressed or implied, shall be limited to replacement of defective materials and correction of faulty workmanship which is in violation of local, state, or federal building codes at the time of performance of the work by SOUTHLAND INDUSTRIES. SOUTHLAND INDUSTRIES warrants to Customer that all labor performed or provided shall be performed by licensed personnel, if required by applicable law, and will be performed in a good workman like manner. For a period of ninety (90) days from the date of the respective work, repair or installation performed by SOUTHLAND INDUSTRIES, SOUTHLAND INDUSTRIES agrees to repair, replace or otherwise make good to the satisfaction of Customer, any defects in workmanship that is adversely affecting the performance of the equipment installed by SOUTHLAND INDUSTRIES, if any. Repair or replacement of any such defects in a) parts or materials supplied by Southland; or b) defects in workmanship by Southland shall be Customer's sole remedy. No other warranty expressed or other liability is given and no other affirmation by SOUTHLAND INDUSTRIES, by word or action, shall constitute a warranty. This warranty is expressly in lieu of any other expressed or implied warranty including any implied warranty of merchantability of fitness, and any other obligation on the part of SOUTHLAND INDUSTRIES.</w:t>
            </w:r>
          </w:p>
        </w:tc>
      </w:tr>
      <w:tr w:rsidR="007D4616" w:rsidRPr="007D4616" w14:paraId="05EEB4CA" w14:textId="77777777" w:rsidTr="00381AC6">
        <w:trPr>
          <w:trHeight w:val="469"/>
        </w:trPr>
        <w:tc>
          <w:tcPr>
            <w:tcW w:w="636" w:type="dxa"/>
            <w:noWrap/>
            <w:hideMark/>
          </w:tcPr>
          <w:p w14:paraId="17A729CE" w14:textId="4499FEB0" w:rsidR="007D4616" w:rsidRPr="007D4616" w:rsidRDefault="007D4616" w:rsidP="007D4616">
            <w:pPr>
              <w:rPr>
                <w:rFonts w:cs="Arial"/>
                <w:szCs w:val="18"/>
              </w:rPr>
            </w:pPr>
            <w:r w:rsidRPr="007D4616">
              <w:rPr>
                <w:rFonts w:cs="Arial"/>
                <w:szCs w:val="18"/>
              </w:rPr>
              <w:t>2</w:t>
            </w:r>
            <w:r>
              <w:rPr>
                <w:rFonts w:cs="Arial"/>
                <w:szCs w:val="18"/>
              </w:rPr>
              <w:t>.</w:t>
            </w:r>
          </w:p>
        </w:tc>
        <w:tc>
          <w:tcPr>
            <w:tcW w:w="9534" w:type="dxa"/>
            <w:hideMark/>
          </w:tcPr>
          <w:p w14:paraId="02FB8374" w14:textId="0725EC0D" w:rsidR="007D4616" w:rsidRPr="007D4616" w:rsidRDefault="007D4616" w:rsidP="007D4616">
            <w:pPr>
              <w:rPr>
                <w:rFonts w:cs="Arial"/>
                <w:szCs w:val="18"/>
              </w:rPr>
            </w:pPr>
            <w:r w:rsidRPr="007D4616">
              <w:rPr>
                <w:rFonts w:cs="Arial"/>
                <w:b/>
                <w:bCs/>
                <w:szCs w:val="18"/>
              </w:rPr>
              <w:t>Insurance.</w:t>
            </w:r>
            <w:r w:rsidRPr="007D4616">
              <w:rPr>
                <w:rFonts w:cs="Arial"/>
                <w:szCs w:val="18"/>
              </w:rPr>
              <w:t xml:space="preserve">  So long as any of the Work remains to be completed, SOUTHLAND INDUSTRIES shall, at SOUTHLAND INDUSTRIES' sole cost and expense, carry and maintain in full force and effect, the following insurance coverages:</w:t>
            </w:r>
          </w:p>
        </w:tc>
      </w:tr>
      <w:tr w:rsidR="007D4616" w:rsidRPr="007D4616" w14:paraId="03DC4D1D" w14:textId="77777777" w:rsidTr="00381AC6">
        <w:trPr>
          <w:trHeight w:val="469"/>
        </w:trPr>
        <w:tc>
          <w:tcPr>
            <w:tcW w:w="636" w:type="dxa"/>
            <w:noWrap/>
            <w:hideMark/>
          </w:tcPr>
          <w:p w14:paraId="319A4CFA" w14:textId="77777777" w:rsidR="007D4616" w:rsidRPr="007D4616" w:rsidRDefault="007D4616" w:rsidP="007D4616">
            <w:pPr>
              <w:rPr>
                <w:rFonts w:cs="Arial"/>
                <w:szCs w:val="18"/>
              </w:rPr>
            </w:pPr>
          </w:p>
        </w:tc>
        <w:tc>
          <w:tcPr>
            <w:tcW w:w="9534" w:type="dxa"/>
            <w:hideMark/>
          </w:tcPr>
          <w:p w14:paraId="0787E802" w14:textId="77777777" w:rsidR="007D4616" w:rsidRPr="007D4616" w:rsidRDefault="007D4616" w:rsidP="007D4616">
            <w:pPr>
              <w:rPr>
                <w:rFonts w:cs="Arial"/>
                <w:szCs w:val="18"/>
              </w:rPr>
            </w:pPr>
            <w:r w:rsidRPr="007D4616">
              <w:rPr>
                <w:rFonts w:cs="Arial"/>
                <w:szCs w:val="18"/>
              </w:rPr>
              <w:t>(A)Workers' compensation insurance coverage on all individuals employed upon or about the Property in accordance with applicable law;</w:t>
            </w:r>
          </w:p>
        </w:tc>
      </w:tr>
      <w:tr w:rsidR="007D4616" w:rsidRPr="007D4616" w14:paraId="0CC5C9F0" w14:textId="77777777" w:rsidTr="00381AC6">
        <w:trPr>
          <w:trHeight w:val="630"/>
        </w:trPr>
        <w:tc>
          <w:tcPr>
            <w:tcW w:w="636" w:type="dxa"/>
            <w:noWrap/>
            <w:hideMark/>
          </w:tcPr>
          <w:p w14:paraId="35870C18" w14:textId="77777777" w:rsidR="007D4616" w:rsidRPr="007D4616" w:rsidRDefault="007D4616" w:rsidP="007D4616">
            <w:pPr>
              <w:rPr>
                <w:rFonts w:cs="Arial"/>
                <w:szCs w:val="18"/>
              </w:rPr>
            </w:pPr>
          </w:p>
        </w:tc>
        <w:tc>
          <w:tcPr>
            <w:tcW w:w="9534" w:type="dxa"/>
            <w:hideMark/>
          </w:tcPr>
          <w:p w14:paraId="18E7B98B" w14:textId="156339FC" w:rsidR="007D4616" w:rsidRPr="007D4616" w:rsidRDefault="007D4616" w:rsidP="007D4616">
            <w:pPr>
              <w:rPr>
                <w:rFonts w:cs="Arial"/>
                <w:szCs w:val="18"/>
              </w:rPr>
            </w:pPr>
            <w:r w:rsidRPr="007D4616">
              <w:rPr>
                <w:rFonts w:cs="Arial"/>
                <w:szCs w:val="18"/>
              </w:rPr>
              <w:t>B) General Liability insurance coverage with the limits maintained by SOUTHLAND INDUSTRIES at the time of this Proposal (which are: $2M each occurrence; $2M personal/advertising injury;  $4M General and Products/Completed Operations Aggregate; $10,000 Medical Payments (any one person) with a $10M Umbrella excess primary policies).</w:t>
            </w:r>
          </w:p>
        </w:tc>
      </w:tr>
      <w:tr w:rsidR="007D4616" w:rsidRPr="007D4616" w14:paraId="3979A78B" w14:textId="77777777" w:rsidTr="00381AC6">
        <w:trPr>
          <w:trHeight w:val="455"/>
        </w:trPr>
        <w:tc>
          <w:tcPr>
            <w:tcW w:w="636" w:type="dxa"/>
            <w:noWrap/>
            <w:hideMark/>
          </w:tcPr>
          <w:p w14:paraId="1AE0B7C2" w14:textId="77777777" w:rsidR="007D4616" w:rsidRPr="007D4616" w:rsidRDefault="007D4616" w:rsidP="007D4616">
            <w:pPr>
              <w:rPr>
                <w:rFonts w:cs="Arial"/>
                <w:szCs w:val="18"/>
              </w:rPr>
            </w:pPr>
          </w:p>
        </w:tc>
        <w:tc>
          <w:tcPr>
            <w:tcW w:w="9534" w:type="dxa"/>
            <w:hideMark/>
          </w:tcPr>
          <w:p w14:paraId="39F65077" w14:textId="77777777" w:rsidR="007D4616" w:rsidRPr="007D4616" w:rsidRDefault="007D4616" w:rsidP="007D4616">
            <w:pPr>
              <w:rPr>
                <w:rFonts w:cs="Arial"/>
                <w:szCs w:val="18"/>
              </w:rPr>
            </w:pPr>
            <w:r w:rsidRPr="007D4616">
              <w:rPr>
                <w:rFonts w:cs="Arial"/>
                <w:szCs w:val="18"/>
              </w:rPr>
              <w:t>(C) SOUTHLAND INDUSTRIES and Customer mutually agree to a waiver by their respective insurer(s) of any and all rights to subrogation.</w:t>
            </w:r>
          </w:p>
        </w:tc>
      </w:tr>
      <w:tr w:rsidR="007D4616" w:rsidRPr="007D4616" w14:paraId="5B0FA748" w14:textId="77777777" w:rsidTr="00381AC6">
        <w:trPr>
          <w:trHeight w:val="492"/>
        </w:trPr>
        <w:tc>
          <w:tcPr>
            <w:tcW w:w="636" w:type="dxa"/>
            <w:noWrap/>
            <w:hideMark/>
          </w:tcPr>
          <w:p w14:paraId="0B1D4FD3" w14:textId="69354F91" w:rsidR="007D4616" w:rsidRPr="007D4616" w:rsidRDefault="007D4616" w:rsidP="007D4616">
            <w:pPr>
              <w:rPr>
                <w:rFonts w:cs="Arial"/>
                <w:szCs w:val="18"/>
              </w:rPr>
            </w:pPr>
            <w:r w:rsidRPr="007D4616">
              <w:rPr>
                <w:rFonts w:cs="Arial"/>
                <w:szCs w:val="18"/>
              </w:rPr>
              <w:t>3</w:t>
            </w:r>
            <w:r w:rsidR="00FA49E1">
              <w:rPr>
                <w:rFonts w:cs="Arial"/>
                <w:szCs w:val="18"/>
              </w:rPr>
              <w:t>.</w:t>
            </w:r>
          </w:p>
        </w:tc>
        <w:tc>
          <w:tcPr>
            <w:tcW w:w="9534" w:type="dxa"/>
            <w:hideMark/>
          </w:tcPr>
          <w:p w14:paraId="7E8BFA56" w14:textId="77777777" w:rsidR="007D4616" w:rsidRPr="007D4616" w:rsidRDefault="007D4616" w:rsidP="007D4616">
            <w:pPr>
              <w:rPr>
                <w:rFonts w:cs="Arial"/>
                <w:szCs w:val="18"/>
              </w:rPr>
            </w:pPr>
            <w:r w:rsidRPr="007D4616">
              <w:rPr>
                <w:rFonts w:cs="Arial"/>
                <w:b/>
                <w:bCs/>
                <w:szCs w:val="18"/>
              </w:rPr>
              <w:t>General Limitations on Scope of Work.</w:t>
            </w:r>
            <w:r w:rsidRPr="007D4616">
              <w:rPr>
                <w:rFonts w:cs="Arial"/>
                <w:szCs w:val="18"/>
              </w:rPr>
              <w:t xml:space="preserve">  Notwithstanding any other provision to the contrary in this Contract, including the incorporated Proposal, the Mechanical Service scope excludes:</w:t>
            </w:r>
          </w:p>
        </w:tc>
      </w:tr>
      <w:tr w:rsidR="007D4616" w:rsidRPr="007D4616" w14:paraId="3568744A" w14:textId="77777777" w:rsidTr="00381AC6">
        <w:trPr>
          <w:trHeight w:val="240"/>
        </w:trPr>
        <w:tc>
          <w:tcPr>
            <w:tcW w:w="636" w:type="dxa"/>
            <w:noWrap/>
            <w:hideMark/>
          </w:tcPr>
          <w:p w14:paraId="029160AF" w14:textId="51FD8204" w:rsidR="007D4616" w:rsidRPr="007D4616" w:rsidRDefault="007D4616" w:rsidP="00D12F12">
            <w:pPr>
              <w:jc w:val="right"/>
              <w:rPr>
                <w:rFonts w:cs="Arial"/>
                <w:szCs w:val="18"/>
              </w:rPr>
            </w:pPr>
            <w:r w:rsidRPr="007D4616">
              <w:rPr>
                <w:rFonts w:cs="Arial"/>
                <w:szCs w:val="18"/>
              </w:rPr>
              <w:t>(a)</w:t>
            </w:r>
          </w:p>
        </w:tc>
        <w:tc>
          <w:tcPr>
            <w:tcW w:w="9534" w:type="dxa"/>
            <w:noWrap/>
            <w:hideMark/>
          </w:tcPr>
          <w:p w14:paraId="1E36BFCA" w14:textId="77777777" w:rsidR="007D4616" w:rsidRPr="007D4616" w:rsidRDefault="007D4616" w:rsidP="007D4616">
            <w:pPr>
              <w:rPr>
                <w:rFonts w:cs="Arial"/>
                <w:szCs w:val="18"/>
              </w:rPr>
            </w:pPr>
            <w:r w:rsidRPr="007D4616">
              <w:rPr>
                <w:rFonts w:cs="Arial"/>
                <w:szCs w:val="18"/>
              </w:rPr>
              <w:t>Maintenance or repair of Equipment cabinets;</w:t>
            </w:r>
          </w:p>
        </w:tc>
      </w:tr>
      <w:tr w:rsidR="007D4616" w:rsidRPr="007D4616" w14:paraId="60EE056F" w14:textId="77777777" w:rsidTr="00381AC6">
        <w:trPr>
          <w:trHeight w:val="240"/>
        </w:trPr>
        <w:tc>
          <w:tcPr>
            <w:tcW w:w="636" w:type="dxa"/>
            <w:noWrap/>
            <w:hideMark/>
          </w:tcPr>
          <w:p w14:paraId="03420571" w14:textId="2AC30125" w:rsidR="007D4616" w:rsidRPr="007D4616" w:rsidRDefault="007D4616" w:rsidP="00D12F12">
            <w:pPr>
              <w:jc w:val="right"/>
              <w:rPr>
                <w:rFonts w:cs="Arial"/>
                <w:szCs w:val="18"/>
              </w:rPr>
            </w:pPr>
            <w:r w:rsidRPr="007D4616">
              <w:rPr>
                <w:rFonts w:cs="Arial"/>
                <w:szCs w:val="18"/>
              </w:rPr>
              <w:t>(b)</w:t>
            </w:r>
          </w:p>
        </w:tc>
        <w:tc>
          <w:tcPr>
            <w:tcW w:w="9534" w:type="dxa"/>
            <w:hideMark/>
          </w:tcPr>
          <w:p w14:paraId="16D76944" w14:textId="77777777" w:rsidR="007D4616" w:rsidRPr="007D4616" w:rsidRDefault="007D4616" w:rsidP="007D4616">
            <w:pPr>
              <w:rPr>
                <w:rFonts w:cs="Arial"/>
                <w:szCs w:val="18"/>
              </w:rPr>
            </w:pPr>
            <w:r w:rsidRPr="007D4616">
              <w:rPr>
                <w:rFonts w:cs="Arial"/>
                <w:szCs w:val="18"/>
              </w:rPr>
              <w:t xml:space="preserve">Ductwork and air distribution devices; </w:t>
            </w:r>
          </w:p>
        </w:tc>
      </w:tr>
      <w:tr w:rsidR="007D4616" w:rsidRPr="007D4616" w14:paraId="0472ABCC" w14:textId="77777777" w:rsidTr="00381AC6">
        <w:trPr>
          <w:trHeight w:val="274"/>
        </w:trPr>
        <w:tc>
          <w:tcPr>
            <w:tcW w:w="636" w:type="dxa"/>
            <w:noWrap/>
            <w:hideMark/>
          </w:tcPr>
          <w:p w14:paraId="265358DB" w14:textId="4C800B27" w:rsidR="007D4616" w:rsidRPr="007D4616" w:rsidRDefault="007D4616" w:rsidP="00D12F12">
            <w:pPr>
              <w:jc w:val="right"/>
              <w:rPr>
                <w:rFonts w:cs="Arial"/>
                <w:szCs w:val="18"/>
              </w:rPr>
            </w:pPr>
            <w:r w:rsidRPr="007D4616">
              <w:rPr>
                <w:rFonts w:cs="Arial"/>
                <w:szCs w:val="18"/>
              </w:rPr>
              <w:t>(c)</w:t>
            </w:r>
          </w:p>
        </w:tc>
        <w:tc>
          <w:tcPr>
            <w:tcW w:w="9534" w:type="dxa"/>
            <w:hideMark/>
          </w:tcPr>
          <w:p w14:paraId="668481C1" w14:textId="77777777" w:rsidR="007D4616" w:rsidRPr="007D4616" w:rsidRDefault="007D4616" w:rsidP="007D4616">
            <w:pPr>
              <w:rPr>
                <w:rFonts w:cs="Arial"/>
                <w:szCs w:val="18"/>
              </w:rPr>
            </w:pPr>
            <w:r w:rsidRPr="007D4616">
              <w:rPr>
                <w:rFonts w:cs="Arial"/>
                <w:szCs w:val="18"/>
              </w:rPr>
              <w:t xml:space="preserve">Water supply or drain beyond the Equipment; </w:t>
            </w:r>
          </w:p>
        </w:tc>
      </w:tr>
      <w:tr w:rsidR="007D4616" w:rsidRPr="007D4616" w14:paraId="4002024B" w14:textId="77777777" w:rsidTr="00381AC6">
        <w:trPr>
          <w:trHeight w:val="259"/>
        </w:trPr>
        <w:tc>
          <w:tcPr>
            <w:tcW w:w="636" w:type="dxa"/>
            <w:noWrap/>
            <w:hideMark/>
          </w:tcPr>
          <w:p w14:paraId="3E356D0D" w14:textId="79B4878B" w:rsidR="007D4616" w:rsidRPr="007D4616" w:rsidRDefault="007D4616" w:rsidP="00D12F12">
            <w:pPr>
              <w:jc w:val="right"/>
              <w:rPr>
                <w:rFonts w:cs="Arial"/>
                <w:szCs w:val="18"/>
              </w:rPr>
            </w:pPr>
            <w:r w:rsidRPr="007D4616">
              <w:rPr>
                <w:rFonts w:cs="Arial"/>
                <w:szCs w:val="18"/>
              </w:rPr>
              <w:t>(d)</w:t>
            </w:r>
          </w:p>
        </w:tc>
        <w:tc>
          <w:tcPr>
            <w:tcW w:w="9534" w:type="dxa"/>
            <w:hideMark/>
          </w:tcPr>
          <w:p w14:paraId="22A5718D" w14:textId="77777777" w:rsidR="007D4616" w:rsidRPr="007D4616" w:rsidRDefault="007D4616" w:rsidP="007D4616">
            <w:pPr>
              <w:rPr>
                <w:rFonts w:cs="Arial"/>
                <w:szCs w:val="18"/>
              </w:rPr>
            </w:pPr>
            <w:r w:rsidRPr="007D4616">
              <w:rPr>
                <w:rFonts w:cs="Arial"/>
                <w:szCs w:val="18"/>
              </w:rPr>
              <w:t>Repair or replacement of heat exchangers in gas fired furnaces and duct heaters;</w:t>
            </w:r>
          </w:p>
        </w:tc>
      </w:tr>
      <w:tr w:rsidR="007D4616" w:rsidRPr="007D4616" w14:paraId="13BFC44D" w14:textId="77777777" w:rsidTr="00381AC6">
        <w:trPr>
          <w:trHeight w:val="229"/>
        </w:trPr>
        <w:tc>
          <w:tcPr>
            <w:tcW w:w="636" w:type="dxa"/>
            <w:noWrap/>
            <w:hideMark/>
          </w:tcPr>
          <w:p w14:paraId="281EC972" w14:textId="1BC22712" w:rsidR="007D4616" w:rsidRPr="007D4616" w:rsidRDefault="007D4616" w:rsidP="00D12F12">
            <w:pPr>
              <w:jc w:val="right"/>
              <w:rPr>
                <w:rFonts w:cs="Arial"/>
                <w:szCs w:val="18"/>
              </w:rPr>
            </w:pPr>
            <w:r w:rsidRPr="007D4616">
              <w:rPr>
                <w:rFonts w:cs="Arial"/>
                <w:szCs w:val="18"/>
              </w:rPr>
              <w:t>(e)</w:t>
            </w:r>
          </w:p>
        </w:tc>
        <w:tc>
          <w:tcPr>
            <w:tcW w:w="9534" w:type="dxa"/>
            <w:hideMark/>
          </w:tcPr>
          <w:p w14:paraId="4022D7DB" w14:textId="77777777" w:rsidR="007D4616" w:rsidRPr="007D4616" w:rsidRDefault="007D4616" w:rsidP="007D4616">
            <w:pPr>
              <w:rPr>
                <w:rFonts w:cs="Arial"/>
                <w:szCs w:val="18"/>
              </w:rPr>
            </w:pPr>
            <w:r w:rsidRPr="007D4616">
              <w:rPr>
                <w:rFonts w:cs="Arial"/>
                <w:szCs w:val="18"/>
              </w:rPr>
              <w:t>Repair or replacement of metal tubes in condensers, chiller, boilers or any other heat exchanger;</w:t>
            </w:r>
          </w:p>
        </w:tc>
      </w:tr>
      <w:tr w:rsidR="007D4616" w:rsidRPr="007D4616" w14:paraId="7DA505E9" w14:textId="77777777" w:rsidTr="00381AC6">
        <w:trPr>
          <w:trHeight w:val="252"/>
        </w:trPr>
        <w:tc>
          <w:tcPr>
            <w:tcW w:w="636" w:type="dxa"/>
            <w:noWrap/>
            <w:hideMark/>
          </w:tcPr>
          <w:p w14:paraId="3EDA8C59" w14:textId="7691DCDA" w:rsidR="007D4616" w:rsidRPr="007D4616" w:rsidRDefault="007D4616" w:rsidP="00D12F12">
            <w:pPr>
              <w:jc w:val="right"/>
              <w:rPr>
                <w:rFonts w:cs="Arial"/>
                <w:szCs w:val="18"/>
              </w:rPr>
            </w:pPr>
            <w:r w:rsidRPr="007D4616">
              <w:rPr>
                <w:rFonts w:cs="Arial"/>
                <w:szCs w:val="18"/>
              </w:rPr>
              <w:t>(f)</w:t>
            </w:r>
          </w:p>
        </w:tc>
        <w:tc>
          <w:tcPr>
            <w:tcW w:w="9534" w:type="dxa"/>
            <w:hideMark/>
          </w:tcPr>
          <w:p w14:paraId="61470C05" w14:textId="77777777" w:rsidR="007D4616" w:rsidRPr="007D4616" w:rsidRDefault="007D4616" w:rsidP="007D4616">
            <w:pPr>
              <w:rPr>
                <w:rFonts w:cs="Arial"/>
                <w:szCs w:val="18"/>
              </w:rPr>
            </w:pPr>
            <w:r w:rsidRPr="007D4616">
              <w:rPr>
                <w:rFonts w:cs="Arial"/>
                <w:szCs w:val="18"/>
              </w:rPr>
              <w:t>Moving or relocation of the subject equipment;</w:t>
            </w:r>
          </w:p>
        </w:tc>
      </w:tr>
      <w:tr w:rsidR="007D4616" w:rsidRPr="007D4616" w14:paraId="4F7C23C0" w14:textId="77777777" w:rsidTr="00381AC6">
        <w:trPr>
          <w:trHeight w:val="255"/>
        </w:trPr>
        <w:tc>
          <w:tcPr>
            <w:tcW w:w="636" w:type="dxa"/>
            <w:noWrap/>
            <w:hideMark/>
          </w:tcPr>
          <w:p w14:paraId="3EE0C3A4" w14:textId="31D51506" w:rsidR="007D4616" w:rsidRPr="007D4616" w:rsidRDefault="007D4616" w:rsidP="00D12F12">
            <w:pPr>
              <w:jc w:val="right"/>
              <w:rPr>
                <w:rFonts w:cs="Arial"/>
                <w:szCs w:val="18"/>
              </w:rPr>
            </w:pPr>
            <w:r w:rsidRPr="007D4616">
              <w:rPr>
                <w:rFonts w:cs="Arial"/>
                <w:szCs w:val="18"/>
              </w:rPr>
              <w:t>(g)</w:t>
            </w:r>
          </w:p>
        </w:tc>
        <w:tc>
          <w:tcPr>
            <w:tcW w:w="9534" w:type="dxa"/>
            <w:hideMark/>
          </w:tcPr>
          <w:p w14:paraId="4FBE3821" w14:textId="77777777" w:rsidR="007D4616" w:rsidRPr="007D4616" w:rsidRDefault="007D4616" w:rsidP="007D4616">
            <w:pPr>
              <w:rPr>
                <w:rFonts w:cs="Arial"/>
                <w:szCs w:val="18"/>
              </w:rPr>
            </w:pPr>
            <w:r w:rsidRPr="007D4616">
              <w:rPr>
                <w:rFonts w:cs="Arial"/>
                <w:szCs w:val="18"/>
              </w:rPr>
              <w:t>Repairs due to freezing;</w:t>
            </w:r>
          </w:p>
        </w:tc>
      </w:tr>
      <w:tr w:rsidR="007D4616" w:rsidRPr="007D4616" w14:paraId="54073E89" w14:textId="77777777" w:rsidTr="00381AC6">
        <w:trPr>
          <w:trHeight w:val="267"/>
        </w:trPr>
        <w:tc>
          <w:tcPr>
            <w:tcW w:w="636" w:type="dxa"/>
            <w:noWrap/>
            <w:hideMark/>
          </w:tcPr>
          <w:p w14:paraId="68746DD1" w14:textId="783854EF" w:rsidR="007D4616" w:rsidRPr="007D4616" w:rsidRDefault="007D4616" w:rsidP="00D12F12">
            <w:pPr>
              <w:jc w:val="right"/>
              <w:rPr>
                <w:rFonts w:cs="Arial"/>
                <w:szCs w:val="18"/>
              </w:rPr>
            </w:pPr>
            <w:r w:rsidRPr="007D4616">
              <w:rPr>
                <w:rFonts w:cs="Arial"/>
                <w:szCs w:val="18"/>
              </w:rPr>
              <w:t>(h)</w:t>
            </w:r>
          </w:p>
        </w:tc>
        <w:tc>
          <w:tcPr>
            <w:tcW w:w="9534" w:type="dxa"/>
            <w:hideMark/>
          </w:tcPr>
          <w:p w14:paraId="55A5C86F" w14:textId="77777777" w:rsidR="007D4616" w:rsidRPr="007D4616" w:rsidRDefault="007D4616" w:rsidP="007D4616">
            <w:pPr>
              <w:rPr>
                <w:rFonts w:cs="Arial"/>
                <w:szCs w:val="18"/>
              </w:rPr>
            </w:pPr>
            <w:r w:rsidRPr="007D4616">
              <w:rPr>
                <w:rFonts w:cs="Arial"/>
                <w:szCs w:val="18"/>
              </w:rPr>
              <w:t>Work made necessary by the enforcement of government codes, building and union regulations or as recommended by insurance companies;</w:t>
            </w:r>
          </w:p>
        </w:tc>
      </w:tr>
      <w:tr w:rsidR="007D4616" w:rsidRPr="007D4616" w14:paraId="5E1E07CB" w14:textId="77777777" w:rsidTr="00381AC6">
        <w:trPr>
          <w:trHeight w:val="469"/>
        </w:trPr>
        <w:tc>
          <w:tcPr>
            <w:tcW w:w="636" w:type="dxa"/>
            <w:noWrap/>
            <w:hideMark/>
          </w:tcPr>
          <w:p w14:paraId="34F70368" w14:textId="0A8ADB10" w:rsidR="007D4616" w:rsidRPr="007D4616" w:rsidRDefault="007D4616" w:rsidP="00D12F12">
            <w:pPr>
              <w:jc w:val="right"/>
              <w:rPr>
                <w:rFonts w:cs="Arial"/>
                <w:szCs w:val="18"/>
              </w:rPr>
            </w:pPr>
            <w:r w:rsidRPr="007D4616">
              <w:rPr>
                <w:rFonts w:cs="Arial"/>
                <w:szCs w:val="18"/>
              </w:rPr>
              <w:t>(i)</w:t>
            </w:r>
          </w:p>
        </w:tc>
        <w:tc>
          <w:tcPr>
            <w:tcW w:w="9534" w:type="dxa"/>
            <w:hideMark/>
          </w:tcPr>
          <w:p w14:paraId="034A8D5E" w14:textId="77777777" w:rsidR="007D4616" w:rsidRPr="007D4616" w:rsidRDefault="007D4616" w:rsidP="007D4616">
            <w:pPr>
              <w:rPr>
                <w:rFonts w:cs="Arial"/>
                <w:szCs w:val="18"/>
              </w:rPr>
            </w:pPr>
            <w:r w:rsidRPr="007D4616">
              <w:rPr>
                <w:rFonts w:cs="Arial"/>
                <w:szCs w:val="18"/>
              </w:rPr>
              <w:t>Damage of any kind due to corrosion, erosion, electrolytic actions, acts of God, power failure, vandalism, or any other cause whatsoever beyond the control of SOUTHLAND INDUSTRIES;</w:t>
            </w:r>
          </w:p>
        </w:tc>
      </w:tr>
      <w:tr w:rsidR="007D4616" w:rsidRPr="007D4616" w14:paraId="2FB45F04" w14:textId="77777777" w:rsidTr="00381AC6">
        <w:trPr>
          <w:trHeight w:val="469"/>
        </w:trPr>
        <w:tc>
          <w:tcPr>
            <w:tcW w:w="636" w:type="dxa"/>
            <w:noWrap/>
            <w:hideMark/>
          </w:tcPr>
          <w:p w14:paraId="411DDCE0" w14:textId="28658E71" w:rsidR="007D4616" w:rsidRPr="007D4616" w:rsidRDefault="007D4616" w:rsidP="00D12F12">
            <w:pPr>
              <w:jc w:val="right"/>
              <w:rPr>
                <w:rFonts w:cs="Arial"/>
                <w:szCs w:val="18"/>
              </w:rPr>
            </w:pPr>
            <w:r w:rsidRPr="007D4616">
              <w:rPr>
                <w:rFonts w:cs="Arial"/>
                <w:szCs w:val="18"/>
              </w:rPr>
              <w:t>(j)</w:t>
            </w:r>
          </w:p>
        </w:tc>
        <w:tc>
          <w:tcPr>
            <w:tcW w:w="9534" w:type="dxa"/>
            <w:hideMark/>
          </w:tcPr>
          <w:p w14:paraId="31AF5DF5" w14:textId="77777777" w:rsidR="007D4616" w:rsidRPr="007D4616" w:rsidRDefault="007D4616" w:rsidP="007D4616">
            <w:pPr>
              <w:rPr>
                <w:rFonts w:cs="Arial"/>
                <w:szCs w:val="18"/>
              </w:rPr>
            </w:pPr>
            <w:r w:rsidRPr="007D4616">
              <w:rPr>
                <w:rFonts w:cs="Arial"/>
                <w:szCs w:val="18"/>
              </w:rPr>
              <w:t xml:space="preserve">Electrical components associated with the Equipment including: disconnect switches, fuses, circuit breakers, and electrical wiring not specifically identified within the scope of work; </w:t>
            </w:r>
          </w:p>
        </w:tc>
      </w:tr>
      <w:tr w:rsidR="007D4616" w:rsidRPr="007D4616" w14:paraId="3B7D5ACF" w14:textId="77777777" w:rsidTr="00381AC6">
        <w:trPr>
          <w:trHeight w:val="229"/>
        </w:trPr>
        <w:tc>
          <w:tcPr>
            <w:tcW w:w="636" w:type="dxa"/>
            <w:noWrap/>
            <w:hideMark/>
          </w:tcPr>
          <w:p w14:paraId="35ADDC38" w14:textId="700F329D" w:rsidR="007D4616" w:rsidRPr="007D4616" w:rsidRDefault="007D4616" w:rsidP="00D12F12">
            <w:pPr>
              <w:jc w:val="right"/>
              <w:rPr>
                <w:rFonts w:cs="Arial"/>
                <w:szCs w:val="18"/>
              </w:rPr>
            </w:pPr>
            <w:r w:rsidRPr="007D4616">
              <w:rPr>
                <w:rFonts w:cs="Arial"/>
                <w:szCs w:val="18"/>
              </w:rPr>
              <w:t>(k)</w:t>
            </w:r>
          </w:p>
        </w:tc>
        <w:tc>
          <w:tcPr>
            <w:tcW w:w="9534" w:type="dxa"/>
            <w:hideMark/>
          </w:tcPr>
          <w:p w14:paraId="69E619EC" w14:textId="7F29A1F5" w:rsidR="007D4616" w:rsidRPr="007D4616" w:rsidRDefault="007D4616" w:rsidP="007D4616">
            <w:pPr>
              <w:rPr>
                <w:rFonts w:cs="Arial"/>
                <w:szCs w:val="18"/>
              </w:rPr>
            </w:pPr>
            <w:r w:rsidRPr="007D4616">
              <w:rPr>
                <w:rFonts w:cs="Arial"/>
                <w:szCs w:val="18"/>
              </w:rPr>
              <w:t xml:space="preserve">Water treatment; </w:t>
            </w:r>
          </w:p>
        </w:tc>
      </w:tr>
      <w:tr w:rsidR="007D4616" w:rsidRPr="007D4616" w14:paraId="573F18FF" w14:textId="77777777" w:rsidTr="00381AC6">
        <w:trPr>
          <w:trHeight w:val="255"/>
        </w:trPr>
        <w:tc>
          <w:tcPr>
            <w:tcW w:w="636" w:type="dxa"/>
            <w:noWrap/>
            <w:hideMark/>
          </w:tcPr>
          <w:p w14:paraId="53119C80" w14:textId="2CD58731" w:rsidR="007D4616" w:rsidRPr="007D4616" w:rsidRDefault="007D4616" w:rsidP="00D12F12">
            <w:pPr>
              <w:jc w:val="right"/>
              <w:rPr>
                <w:rFonts w:cs="Arial"/>
                <w:szCs w:val="18"/>
              </w:rPr>
            </w:pPr>
            <w:r w:rsidRPr="007D4616">
              <w:rPr>
                <w:rFonts w:cs="Arial"/>
                <w:szCs w:val="18"/>
              </w:rPr>
              <w:t>(l)</w:t>
            </w:r>
          </w:p>
        </w:tc>
        <w:tc>
          <w:tcPr>
            <w:tcW w:w="9534" w:type="dxa"/>
            <w:hideMark/>
          </w:tcPr>
          <w:p w14:paraId="65ADCA84" w14:textId="00B61CD1" w:rsidR="007D4616" w:rsidRPr="007D4616" w:rsidRDefault="007D4616" w:rsidP="007D4616">
            <w:pPr>
              <w:rPr>
                <w:rFonts w:cs="Arial"/>
                <w:szCs w:val="18"/>
              </w:rPr>
            </w:pPr>
            <w:r w:rsidRPr="007D4616">
              <w:rPr>
                <w:rFonts w:cs="Arial"/>
                <w:szCs w:val="18"/>
              </w:rPr>
              <w:t>Piping systems of any nature</w:t>
            </w:r>
            <w:r w:rsidR="00FA49E1">
              <w:rPr>
                <w:rFonts w:cs="Arial"/>
                <w:szCs w:val="18"/>
              </w:rPr>
              <w:t xml:space="preserve">; </w:t>
            </w:r>
            <w:r w:rsidR="00FA49E1" w:rsidRPr="007D4616">
              <w:rPr>
                <w:rFonts w:cs="Arial"/>
                <w:szCs w:val="18"/>
              </w:rPr>
              <w:t>and</w:t>
            </w:r>
          </w:p>
        </w:tc>
      </w:tr>
      <w:tr w:rsidR="00FA49E1" w:rsidRPr="007D4616" w14:paraId="378ABCE0" w14:textId="77777777" w:rsidTr="00381AC6">
        <w:trPr>
          <w:trHeight w:val="255"/>
        </w:trPr>
        <w:tc>
          <w:tcPr>
            <w:tcW w:w="636" w:type="dxa"/>
            <w:noWrap/>
          </w:tcPr>
          <w:p w14:paraId="0486EAE6" w14:textId="4623E43B" w:rsidR="00FA49E1" w:rsidRPr="007D4616" w:rsidRDefault="00FA49E1" w:rsidP="00D12F12">
            <w:pPr>
              <w:jc w:val="right"/>
              <w:rPr>
                <w:rFonts w:cs="Arial"/>
                <w:szCs w:val="18"/>
              </w:rPr>
            </w:pPr>
            <w:r>
              <w:rPr>
                <w:rFonts w:cs="Arial"/>
                <w:szCs w:val="18"/>
              </w:rPr>
              <w:t>(m)</w:t>
            </w:r>
          </w:p>
        </w:tc>
        <w:tc>
          <w:tcPr>
            <w:tcW w:w="9534" w:type="dxa"/>
          </w:tcPr>
          <w:p w14:paraId="46EE1AE6" w14:textId="10983C32" w:rsidR="00FA49E1" w:rsidRPr="007D4616" w:rsidRDefault="00FA49E1" w:rsidP="007D4616">
            <w:pPr>
              <w:rPr>
                <w:rFonts w:cs="Arial"/>
                <w:szCs w:val="18"/>
              </w:rPr>
            </w:pPr>
            <w:r w:rsidRPr="007D4616">
              <w:rPr>
                <w:rFonts w:cs="Arial"/>
                <w:szCs w:val="18"/>
              </w:rPr>
              <w:t>the identification, removal, handling or disposal of asbestos or other hazardous substances.</w:t>
            </w:r>
          </w:p>
        </w:tc>
      </w:tr>
      <w:tr w:rsidR="00FA49E1" w:rsidRPr="007D4616" w14:paraId="0F0C8FF4" w14:textId="77777777" w:rsidTr="00381AC6">
        <w:trPr>
          <w:trHeight w:val="1129"/>
        </w:trPr>
        <w:tc>
          <w:tcPr>
            <w:tcW w:w="636" w:type="dxa"/>
            <w:noWrap/>
          </w:tcPr>
          <w:p w14:paraId="2AAECFD2" w14:textId="70E01CCA" w:rsidR="00FA49E1" w:rsidRPr="007D4616" w:rsidRDefault="00FA49E1" w:rsidP="007D4616">
            <w:pPr>
              <w:rPr>
                <w:rFonts w:cs="Arial"/>
                <w:szCs w:val="18"/>
              </w:rPr>
            </w:pPr>
            <w:r w:rsidRPr="007D4616">
              <w:rPr>
                <w:rFonts w:cs="Arial"/>
                <w:szCs w:val="18"/>
              </w:rPr>
              <w:t>4</w:t>
            </w:r>
            <w:r>
              <w:rPr>
                <w:rFonts w:cs="Arial"/>
                <w:szCs w:val="18"/>
              </w:rPr>
              <w:t>.</w:t>
            </w:r>
          </w:p>
        </w:tc>
        <w:tc>
          <w:tcPr>
            <w:tcW w:w="9534" w:type="dxa"/>
            <w:noWrap/>
          </w:tcPr>
          <w:p w14:paraId="0F677552" w14:textId="3ADF6EA5" w:rsidR="00FA49E1" w:rsidRPr="007D4616" w:rsidRDefault="00FA49E1" w:rsidP="007D4616">
            <w:pPr>
              <w:rPr>
                <w:rFonts w:cs="Arial"/>
                <w:szCs w:val="18"/>
              </w:rPr>
            </w:pPr>
            <w:r w:rsidRPr="007D4616">
              <w:rPr>
                <w:rFonts w:cs="Arial"/>
                <w:b/>
                <w:bCs/>
                <w:szCs w:val="18"/>
              </w:rPr>
              <w:t>Hoisting/Rigging Operations.</w:t>
            </w:r>
            <w:r w:rsidRPr="007D4616">
              <w:rPr>
                <w:rFonts w:cs="Arial"/>
                <w:szCs w:val="18"/>
              </w:rPr>
              <w:t xml:space="preserve">  Prior to the use of heavy commercial hoisting or rigging equipment that could potentially cause damage to the Property or injury, SOUTHLAND INDUSTRIES will notify Customer in writing and shall not proceed without Customer’s prior written consent. While all precautions will be exercised to protect Customer's Property, SOUTHLAND INDUSTRIES will not accept any responsibility for damage to parking lots, driveways, or landscaping that may occur as a result of normal hoisting and rigging operations, except to the extent that the damage is caused by SOUTHLAND INDUSTRIES</w:t>
            </w:r>
            <w:r w:rsidR="00381AC6">
              <w:rPr>
                <w:rFonts w:cs="Arial"/>
                <w:szCs w:val="18"/>
              </w:rPr>
              <w:t xml:space="preserve">’ </w:t>
            </w:r>
            <w:r w:rsidRPr="007D4616">
              <w:rPr>
                <w:rFonts w:cs="Arial"/>
                <w:szCs w:val="18"/>
              </w:rPr>
              <w:t>gross negligence or willful misconduct.</w:t>
            </w:r>
          </w:p>
        </w:tc>
      </w:tr>
      <w:tr w:rsidR="00FA49E1" w:rsidRPr="007D4616" w14:paraId="3076C2DB" w14:textId="77777777" w:rsidTr="00381AC6">
        <w:trPr>
          <w:trHeight w:val="720"/>
        </w:trPr>
        <w:tc>
          <w:tcPr>
            <w:tcW w:w="636" w:type="dxa"/>
            <w:noWrap/>
            <w:hideMark/>
          </w:tcPr>
          <w:p w14:paraId="6FFB29DA" w14:textId="38BC55BE" w:rsidR="00FA49E1" w:rsidRPr="007D4616" w:rsidRDefault="00FA49E1" w:rsidP="007D4616">
            <w:pPr>
              <w:rPr>
                <w:rFonts w:cs="Arial"/>
                <w:szCs w:val="18"/>
              </w:rPr>
            </w:pPr>
            <w:r w:rsidRPr="007D4616">
              <w:rPr>
                <w:rFonts w:cs="Arial"/>
                <w:szCs w:val="18"/>
              </w:rPr>
              <w:lastRenderedPageBreak/>
              <w:t>5</w:t>
            </w:r>
            <w:r>
              <w:rPr>
                <w:rFonts w:cs="Arial"/>
                <w:szCs w:val="18"/>
              </w:rPr>
              <w:t>.</w:t>
            </w:r>
          </w:p>
        </w:tc>
        <w:tc>
          <w:tcPr>
            <w:tcW w:w="9534" w:type="dxa"/>
            <w:hideMark/>
          </w:tcPr>
          <w:p w14:paraId="11818277" w14:textId="79505E73" w:rsidR="00FA49E1" w:rsidRPr="007D4616" w:rsidRDefault="00FA49E1" w:rsidP="007D4616">
            <w:pPr>
              <w:rPr>
                <w:rFonts w:cs="Arial"/>
                <w:szCs w:val="18"/>
              </w:rPr>
            </w:pPr>
            <w:r w:rsidRPr="007D4616">
              <w:rPr>
                <w:rFonts w:cs="Arial"/>
                <w:b/>
                <w:bCs/>
                <w:szCs w:val="18"/>
              </w:rPr>
              <w:t>Work Hours.</w:t>
            </w:r>
            <w:r w:rsidRPr="007D4616">
              <w:rPr>
                <w:rFonts w:cs="Arial"/>
                <w:szCs w:val="18"/>
              </w:rPr>
              <w:t xml:space="preserve">  Unless indicated otherwise, all pricing is based upon work being performed during regular working hours of 8:00 am to 5:00 pm, Monday through Friday, except holidays. If work is required at times other than normal working hours, Customer agrees to pay the SOUTHLAND INDUSTRIES’ standard overtime charge rates.</w:t>
            </w:r>
          </w:p>
        </w:tc>
      </w:tr>
      <w:tr w:rsidR="00FA49E1" w:rsidRPr="007D4616" w14:paraId="0E64118B" w14:textId="77777777" w:rsidTr="00381AC6">
        <w:trPr>
          <w:trHeight w:val="1380"/>
        </w:trPr>
        <w:tc>
          <w:tcPr>
            <w:tcW w:w="636" w:type="dxa"/>
            <w:noWrap/>
            <w:hideMark/>
          </w:tcPr>
          <w:p w14:paraId="571E2B2A" w14:textId="26A2F2E9" w:rsidR="00FA49E1" w:rsidRPr="007D4616" w:rsidRDefault="00FA49E1" w:rsidP="007D4616">
            <w:pPr>
              <w:rPr>
                <w:rFonts w:cs="Arial"/>
                <w:szCs w:val="18"/>
              </w:rPr>
            </w:pPr>
            <w:r w:rsidRPr="007D4616">
              <w:rPr>
                <w:rFonts w:cs="Arial"/>
                <w:szCs w:val="18"/>
              </w:rPr>
              <w:t>6</w:t>
            </w:r>
            <w:r>
              <w:rPr>
                <w:rFonts w:cs="Arial"/>
                <w:szCs w:val="18"/>
              </w:rPr>
              <w:t>.</w:t>
            </w:r>
          </w:p>
        </w:tc>
        <w:tc>
          <w:tcPr>
            <w:tcW w:w="9534" w:type="dxa"/>
            <w:hideMark/>
          </w:tcPr>
          <w:p w14:paraId="3B6AE1C5" w14:textId="66CEC190" w:rsidR="00FA49E1" w:rsidRPr="007D4616" w:rsidRDefault="00FA49E1" w:rsidP="007D4616">
            <w:pPr>
              <w:rPr>
                <w:rFonts w:cs="Arial"/>
                <w:szCs w:val="18"/>
              </w:rPr>
            </w:pPr>
            <w:r w:rsidRPr="007D4616">
              <w:rPr>
                <w:rFonts w:cs="Arial"/>
                <w:b/>
                <w:bCs/>
                <w:szCs w:val="18"/>
              </w:rPr>
              <w:t>Payments.</w:t>
            </w:r>
            <w:r w:rsidRPr="007D4616">
              <w:rPr>
                <w:rFonts w:cs="Arial"/>
                <w:szCs w:val="18"/>
              </w:rPr>
              <w:t xml:space="preserve">  Customer agrees to pay SOUTHLAND INDUSTRIES all sums due with respect to this Proposal in accordance with the terms specified. Payments are due upon receipt of invoice. In the event payment is not received by SOUTHLAND INDUSTRIES within thirty (30) days following billing, such payment shall be considered past due. Beginning with the thirty-first (31st) day following billing, such payment shall bear interest at the maximum rate allowable by law until payment is received.  Customer agrees to pay to SOUTHLAND INDUSTRIES all costs of collection, including reasonable attorneys' fees, resulting from Customer's default in payment hereunder.  SOUTHLAND INDUSTRIES reserves the right to stop all work until such balances are made current or cancel this Contract at any time, upon five (5) business days’ written notice, if payments as called for herein are not made.</w:t>
            </w:r>
            <w:r w:rsidRPr="007D4616">
              <w:rPr>
                <w:rFonts w:cs="Arial"/>
                <w:szCs w:val="18"/>
              </w:rPr>
              <w:br/>
              <w:t>In addition to the Contract fee detailed in this Proposal, Customer shall pay and be responsible for the gross amount of any present or future sales, use, excise, value-added, or other similar tax, however designated, applicable to the price, sale or delivery of any products, services or the work furnished hereunder or for their use by SOUTHLAND INDUSTRIES on behalf of the Customer whether such tax shall be local, state, or federal in nature. This includes, but is not limited to the recovery, recycling, reclamation, handling and disposal of all refrigerants and the additional costs incurred for refrigerant tax and/or increased costs due to shortages.</w:t>
            </w:r>
          </w:p>
        </w:tc>
      </w:tr>
      <w:tr w:rsidR="00FA49E1" w:rsidRPr="007D4616" w14:paraId="3FD19C3B" w14:textId="77777777" w:rsidTr="00381AC6">
        <w:trPr>
          <w:trHeight w:val="480"/>
        </w:trPr>
        <w:tc>
          <w:tcPr>
            <w:tcW w:w="636" w:type="dxa"/>
            <w:noWrap/>
            <w:hideMark/>
          </w:tcPr>
          <w:p w14:paraId="3001C635" w14:textId="41E2863E" w:rsidR="00FA49E1" w:rsidRPr="007D4616" w:rsidRDefault="00FA49E1" w:rsidP="007D4616">
            <w:pPr>
              <w:rPr>
                <w:rFonts w:cs="Arial"/>
                <w:szCs w:val="18"/>
              </w:rPr>
            </w:pPr>
            <w:r w:rsidRPr="007D4616">
              <w:rPr>
                <w:rFonts w:cs="Arial"/>
                <w:szCs w:val="18"/>
              </w:rPr>
              <w:t>7</w:t>
            </w:r>
            <w:r>
              <w:rPr>
                <w:rFonts w:cs="Arial"/>
                <w:szCs w:val="18"/>
              </w:rPr>
              <w:t>.</w:t>
            </w:r>
          </w:p>
        </w:tc>
        <w:tc>
          <w:tcPr>
            <w:tcW w:w="9534" w:type="dxa"/>
            <w:hideMark/>
          </w:tcPr>
          <w:p w14:paraId="4F1DA862" w14:textId="0EF71197" w:rsidR="00FA49E1" w:rsidRPr="007D4616" w:rsidRDefault="00FA49E1" w:rsidP="007D4616">
            <w:pPr>
              <w:rPr>
                <w:rFonts w:cs="Arial"/>
                <w:szCs w:val="18"/>
              </w:rPr>
            </w:pPr>
            <w:r w:rsidRPr="007D4616">
              <w:rPr>
                <w:rFonts w:cs="Arial"/>
                <w:b/>
                <w:bCs/>
                <w:szCs w:val="18"/>
              </w:rPr>
              <w:t>Cancellation.</w:t>
            </w:r>
            <w:r w:rsidRPr="007D4616">
              <w:rPr>
                <w:rFonts w:cs="Arial"/>
                <w:szCs w:val="18"/>
              </w:rPr>
              <w:t xml:space="preserve">  This Contract may be cancelled by either party upon thirty (30) day written notice.  In the event of cancellation by the Customer, SOUTHLAND INDUSTRIES reserves the right to invoice and be paid for work performed thru cancellation date.   </w:t>
            </w:r>
            <w:r w:rsidRPr="007D4616">
              <w:rPr>
                <w:rFonts w:cs="Arial"/>
                <w:szCs w:val="18"/>
              </w:rPr>
              <w:br/>
              <w:t xml:space="preserve">SOUTHLAND INDUSTRIES reserves the right to adjust and or terminate this Contract in the event the systems and/or equipment covered hereunder are altered, modified, changed or moved, including but not limited to any direct changes in application or architectural modifications resulting in changes to the mechanical systems and/or equipment performance. If persons other than representatives of SOUTHLAND INDUSTRIES performs maintenance or repair of equipment covered under this agreement, and as a result further repair by SOUTHLAND INDUSTRIES is required, such repairs will be made and charges billed to the Customer at SOUTHLAND INDUSTRIES’ applicable labor and material rates then in effect.  </w:t>
            </w:r>
          </w:p>
        </w:tc>
      </w:tr>
      <w:tr w:rsidR="00FA49E1" w:rsidRPr="007D4616" w14:paraId="55F57801" w14:textId="77777777" w:rsidTr="00381AC6">
        <w:trPr>
          <w:trHeight w:val="810"/>
        </w:trPr>
        <w:tc>
          <w:tcPr>
            <w:tcW w:w="636" w:type="dxa"/>
            <w:noWrap/>
            <w:hideMark/>
          </w:tcPr>
          <w:p w14:paraId="67635B19" w14:textId="0ED5C901" w:rsidR="00FA49E1" w:rsidRPr="007D4616" w:rsidRDefault="00FA49E1" w:rsidP="007D4616">
            <w:pPr>
              <w:rPr>
                <w:rFonts w:cs="Arial"/>
                <w:szCs w:val="18"/>
              </w:rPr>
            </w:pPr>
            <w:r w:rsidRPr="007D4616">
              <w:rPr>
                <w:rFonts w:cs="Arial"/>
                <w:szCs w:val="18"/>
              </w:rPr>
              <w:t>8</w:t>
            </w:r>
            <w:r>
              <w:rPr>
                <w:rFonts w:cs="Arial"/>
                <w:szCs w:val="18"/>
              </w:rPr>
              <w:t>.</w:t>
            </w:r>
          </w:p>
        </w:tc>
        <w:tc>
          <w:tcPr>
            <w:tcW w:w="9534" w:type="dxa"/>
            <w:hideMark/>
          </w:tcPr>
          <w:p w14:paraId="69AABBDA" w14:textId="0DA255E5" w:rsidR="00FA49E1" w:rsidRPr="007D4616" w:rsidRDefault="00FA49E1" w:rsidP="007D4616">
            <w:pPr>
              <w:rPr>
                <w:rFonts w:cs="Arial"/>
                <w:szCs w:val="18"/>
              </w:rPr>
            </w:pPr>
            <w:r w:rsidRPr="007D4616">
              <w:rPr>
                <w:rFonts w:cs="Arial"/>
                <w:b/>
                <w:bCs/>
                <w:szCs w:val="18"/>
              </w:rPr>
              <w:t xml:space="preserve">No Liability from System Design or Existing Equipment Installation.  </w:t>
            </w:r>
            <w:r w:rsidRPr="007D4616">
              <w:rPr>
                <w:rFonts w:cs="Arial"/>
                <w:szCs w:val="18"/>
              </w:rPr>
              <w:t>Unless SOUTHLAND INDUSTRIES was the engineer of record for the existing system design under a prior and separate construction/design-build contract or system design is expressly included within the scope of the Proposal (and, in either case, to the extent of that design), Customer acknowledges and stipulates that SOUTHLAND INDUSTRIES did not select, advise Customer regarding, engineer, design or install the system, equipment or any component part thereof to be maintained under this Contract.  Accordingly, SOUTHLAND INDUSTRIES shall not be liable in any capacity, under any theory of recovery for any claims or damages related to or originating from prior or existing defects, deficiencies, injuries, or damage (whether to the system, equipment or Property) associated therewith or as a result of prior ineffective maintenance.  SOUTHLAND INDUSTRIES agrees, however, to advise the Customer about the existence of such conditions upon discovery in accordance with the terms of the Contract.</w:t>
            </w:r>
          </w:p>
        </w:tc>
      </w:tr>
      <w:tr w:rsidR="00FA49E1" w:rsidRPr="007D4616" w14:paraId="04D72287" w14:textId="77777777" w:rsidTr="00381AC6">
        <w:trPr>
          <w:trHeight w:val="180"/>
        </w:trPr>
        <w:tc>
          <w:tcPr>
            <w:tcW w:w="636" w:type="dxa"/>
            <w:noWrap/>
            <w:hideMark/>
          </w:tcPr>
          <w:p w14:paraId="4509A816" w14:textId="2F8B9D52" w:rsidR="00FA49E1" w:rsidRPr="007D4616" w:rsidRDefault="00FA49E1" w:rsidP="007D4616">
            <w:pPr>
              <w:rPr>
                <w:rFonts w:cs="Arial"/>
                <w:szCs w:val="18"/>
              </w:rPr>
            </w:pPr>
            <w:r w:rsidRPr="007D4616">
              <w:rPr>
                <w:rFonts w:cs="Arial"/>
                <w:szCs w:val="18"/>
              </w:rPr>
              <w:t>9</w:t>
            </w:r>
            <w:r>
              <w:rPr>
                <w:rFonts w:cs="Arial"/>
                <w:szCs w:val="18"/>
              </w:rPr>
              <w:t>.</w:t>
            </w:r>
          </w:p>
        </w:tc>
        <w:tc>
          <w:tcPr>
            <w:tcW w:w="9534" w:type="dxa"/>
            <w:hideMark/>
          </w:tcPr>
          <w:p w14:paraId="1E823926" w14:textId="08695005" w:rsidR="00FA49E1" w:rsidRPr="007D4616" w:rsidRDefault="00FA49E1" w:rsidP="007D4616">
            <w:pPr>
              <w:rPr>
                <w:rFonts w:cs="Arial"/>
                <w:szCs w:val="18"/>
              </w:rPr>
            </w:pPr>
            <w:r w:rsidRPr="007D4616">
              <w:rPr>
                <w:rFonts w:cs="Arial"/>
                <w:b/>
                <w:bCs/>
                <w:szCs w:val="18"/>
              </w:rPr>
              <w:t>No Liability for Incidental Microbiological Growth/Mold.</w:t>
            </w:r>
            <w:r w:rsidRPr="007D4616">
              <w:rPr>
                <w:rFonts w:cs="Arial"/>
                <w:szCs w:val="18"/>
              </w:rPr>
              <w:t xml:space="preserve">  Customer acknowledges that the Heating, Ventilation, and Air-Conditioning equipment and systems repaired or serviced as a part of this Contract may, under certain conditions, become conducive to or incidentally support microbiological growth.  SOUTHLAND INDUSTRIES assumes no liability for nor warrants its work to protect against, eliminate or inhibit any type of incidental microbiological growth including, but not limited to, molds, fungi and other related matter, in or around duct systems, HVAC and related equipment or areas.  SOUTHLAND INDUSTRIES agrees, however, to advise the Customer about the existence of such conditions upon discovery and to take measures to discourage such growth as required and in accordance with the terms of the Contract.  </w:t>
            </w:r>
          </w:p>
        </w:tc>
      </w:tr>
      <w:tr w:rsidR="00FA49E1" w:rsidRPr="007D4616" w14:paraId="6F0B754F" w14:textId="77777777" w:rsidTr="00381AC6">
        <w:trPr>
          <w:trHeight w:val="180"/>
        </w:trPr>
        <w:tc>
          <w:tcPr>
            <w:tcW w:w="636" w:type="dxa"/>
            <w:noWrap/>
            <w:hideMark/>
          </w:tcPr>
          <w:p w14:paraId="4C543F9A" w14:textId="0738E44F" w:rsidR="00FA49E1" w:rsidRPr="007D4616" w:rsidRDefault="00FA49E1" w:rsidP="007D4616">
            <w:pPr>
              <w:rPr>
                <w:rFonts w:cs="Arial"/>
                <w:szCs w:val="18"/>
              </w:rPr>
            </w:pPr>
            <w:r w:rsidRPr="007D4616">
              <w:rPr>
                <w:rFonts w:cs="Arial"/>
                <w:szCs w:val="18"/>
              </w:rPr>
              <w:t>10</w:t>
            </w:r>
            <w:r>
              <w:rPr>
                <w:rFonts w:cs="Arial"/>
                <w:szCs w:val="18"/>
              </w:rPr>
              <w:t>.</w:t>
            </w:r>
          </w:p>
        </w:tc>
        <w:tc>
          <w:tcPr>
            <w:tcW w:w="9534" w:type="dxa"/>
            <w:hideMark/>
          </w:tcPr>
          <w:p w14:paraId="5718D760" w14:textId="4D84191C" w:rsidR="00FA49E1" w:rsidRPr="007D4616" w:rsidRDefault="00FA49E1" w:rsidP="007D4616">
            <w:pPr>
              <w:rPr>
                <w:rFonts w:cs="Arial"/>
                <w:szCs w:val="18"/>
              </w:rPr>
            </w:pPr>
            <w:r w:rsidRPr="007D4616">
              <w:rPr>
                <w:rFonts w:cs="Arial"/>
                <w:b/>
                <w:bCs/>
                <w:szCs w:val="18"/>
              </w:rPr>
              <w:t>Limitation of Damages for Breach of Contract.</w:t>
            </w:r>
            <w:r w:rsidRPr="007D4616">
              <w:rPr>
                <w:rFonts w:cs="Arial"/>
                <w:szCs w:val="18"/>
              </w:rPr>
              <w:t xml:space="preserve">  The full extent of SOUTHLAND INDUSTRIES’ liability in the aggregate and Customer’s exclusive remedy for damages from any breach of this Contract, including, but not limited to, nonperformance or misrepresentation, and regardless of the form of action, shall be limited to the annual Contract fee of the current year.</w:t>
            </w:r>
          </w:p>
        </w:tc>
      </w:tr>
      <w:tr w:rsidR="00FA49E1" w:rsidRPr="007D4616" w14:paraId="54848A23" w14:textId="77777777" w:rsidTr="00381AC6">
        <w:trPr>
          <w:trHeight w:val="1620"/>
        </w:trPr>
        <w:tc>
          <w:tcPr>
            <w:tcW w:w="636" w:type="dxa"/>
            <w:noWrap/>
            <w:hideMark/>
          </w:tcPr>
          <w:p w14:paraId="25A04612" w14:textId="3BE28B4C" w:rsidR="00FA49E1" w:rsidRPr="007D4616" w:rsidRDefault="00FA49E1" w:rsidP="007D4616">
            <w:pPr>
              <w:rPr>
                <w:rFonts w:cs="Arial"/>
                <w:szCs w:val="18"/>
              </w:rPr>
            </w:pPr>
            <w:r w:rsidRPr="007D4616">
              <w:rPr>
                <w:rFonts w:cs="Arial"/>
                <w:szCs w:val="18"/>
              </w:rPr>
              <w:lastRenderedPageBreak/>
              <w:t>11</w:t>
            </w:r>
            <w:r>
              <w:rPr>
                <w:rFonts w:cs="Arial"/>
                <w:szCs w:val="18"/>
              </w:rPr>
              <w:t>.</w:t>
            </w:r>
          </w:p>
        </w:tc>
        <w:tc>
          <w:tcPr>
            <w:tcW w:w="9534" w:type="dxa"/>
            <w:hideMark/>
          </w:tcPr>
          <w:p w14:paraId="10ACE973" w14:textId="7ADD54B1" w:rsidR="00FA49E1" w:rsidRPr="007D4616" w:rsidRDefault="00FA49E1" w:rsidP="007D4616">
            <w:pPr>
              <w:rPr>
                <w:rFonts w:cs="Arial"/>
                <w:szCs w:val="18"/>
              </w:rPr>
            </w:pPr>
            <w:r w:rsidRPr="007D4616">
              <w:rPr>
                <w:rFonts w:cs="Arial"/>
                <w:b/>
                <w:bCs/>
                <w:szCs w:val="18"/>
              </w:rPr>
              <w:t>Mutual Waiver of Consequential and Punitive Damages.</w:t>
            </w:r>
            <w:r w:rsidRPr="007D4616">
              <w:rPr>
                <w:rFonts w:cs="Arial"/>
                <w:szCs w:val="18"/>
              </w:rPr>
              <w:t xml:space="preserve">  Notwithstanding any other provision to the contrary, SOUTHLAND INDUSTRIES and Customer mutually waive all claims against each other for any and all consequential/special/indirect/incidental and, to the extent allowable by law, all punitive/exemplary damages arising out of or relating to this Contract.  This mutual waiver includes, but is not limited to, damages incurred for rental expenses, loss of use, lost revenue or profit, lost opportunity, loss of goodwill, loss of management or employee productivity, cost of capital, and cost of substitute facilities, services or goods regardless of the foreseeability of such damages. </w:t>
            </w:r>
          </w:p>
        </w:tc>
      </w:tr>
      <w:tr w:rsidR="00FA49E1" w:rsidRPr="007D4616" w14:paraId="10EB9DA6" w14:textId="77777777" w:rsidTr="00381AC6">
        <w:trPr>
          <w:trHeight w:val="1369"/>
        </w:trPr>
        <w:tc>
          <w:tcPr>
            <w:tcW w:w="636" w:type="dxa"/>
            <w:noWrap/>
            <w:hideMark/>
          </w:tcPr>
          <w:p w14:paraId="7BB444BE" w14:textId="5A3624BA" w:rsidR="00FA49E1" w:rsidRPr="007D4616" w:rsidRDefault="00FA49E1" w:rsidP="007D4616">
            <w:pPr>
              <w:rPr>
                <w:rFonts w:cs="Arial"/>
                <w:szCs w:val="18"/>
              </w:rPr>
            </w:pPr>
            <w:r w:rsidRPr="007D4616">
              <w:rPr>
                <w:rFonts w:cs="Arial"/>
                <w:szCs w:val="18"/>
              </w:rPr>
              <w:t>12</w:t>
            </w:r>
            <w:r>
              <w:rPr>
                <w:rFonts w:cs="Arial"/>
                <w:szCs w:val="18"/>
              </w:rPr>
              <w:t>.</w:t>
            </w:r>
          </w:p>
        </w:tc>
        <w:tc>
          <w:tcPr>
            <w:tcW w:w="9534" w:type="dxa"/>
            <w:hideMark/>
          </w:tcPr>
          <w:p w14:paraId="4DBE19AB" w14:textId="6B4AB641" w:rsidR="00FA49E1" w:rsidRPr="007D4616" w:rsidRDefault="00FA49E1" w:rsidP="007D4616">
            <w:pPr>
              <w:rPr>
                <w:rFonts w:cs="Arial"/>
                <w:szCs w:val="18"/>
              </w:rPr>
            </w:pPr>
            <w:r w:rsidRPr="007D4616">
              <w:rPr>
                <w:rFonts w:cs="Arial"/>
                <w:b/>
                <w:bCs/>
                <w:szCs w:val="18"/>
              </w:rPr>
              <w:t>Indemnity.</w:t>
            </w:r>
            <w:r w:rsidRPr="007D4616">
              <w:rPr>
                <w:rFonts w:cs="Arial"/>
                <w:szCs w:val="18"/>
              </w:rPr>
              <w:t xml:space="preserve">  To the fullest extent permitted by law, to the PROPORTIONATE extent OF CUSTOMER’S AND </w:t>
            </w:r>
            <w:r w:rsidR="005E7122">
              <w:rPr>
                <w:rFonts w:cs="Arial"/>
                <w:szCs w:val="18"/>
              </w:rPr>
              <w:t>SOUTHLAND INDUSTRIES’</w:t>
            </w:r>
            <w:r w:rsidRPr="007D4616">
              <w:rPr>
                <w:rFonts w:cs="Arial"/>
                <w:szCs w:val="18"/>
              </w:rPr>
              <w:t xml:space="preserve"> RESPECTIVE negligence and except as otherwise limited herein, CUSTOMER AND </w:t>
            </w:r>
            <w:r w:rsidR="005E7122">
              <w:rPr>
                <w:rFonts w:cs="Arial"/>
                <w:szCs w:val="18"/>
              </w:rPr>
              <w:t>SOUTHLAND INDUSTRIES</w:t>
            </w:r>
            <w:r w:rsidRPr="007D4616">
              <w:rPr>
                <w:rFonts w:cs="Arial"/>
                <w:szCs w:val="18"/>
              </w:rPr>
              <w:t xml:space="preserve"> agree to indemnify, defend, and hold ONE ANOTHER AND THEIR RESPECTIVE officers, directors, agents, assigns, successors and employees HARMLESS against all claims and damages, losses and expenses (including, but not limited to, REASONABLE attorney’s fees) resulting from the negligence or willful misconduct or breach of this Contract by the indemnifying party or its employees, contractors or agents.  NOTWITHSTANDING THE FOREGOING PROVISION, THIS INDEMNITY IS SUBJECT TO THE LIMITATIONS OF LIABILITY IN SECTIONS 8-11 ABOVE.</w:t>
            </w:r>
          </w:p>
        </w:tc>
      </w:tr>
      <w:tr w:rsidR="00FA49E1" w:rsidRPr="007D4616" w14:paraId="15A69E26" w14:textId="77777777" w:rsidTr="00381AC6">
        <w:trPr>
          <w:trHeight w:val="687"/>
        </w:trPr>
        <w:tc>
          <w:tcPr>
            <w:tcW w:w="636" w:type="dxa"/>
            <w:noWrap/>
            <w:hideMark/>
          </w:tcPr>
          <w:p w14:paraId="3A0BABB1" w14:textId="3FC3CD71" w:rsidR="00FA49E1" w:rsidRPr="007D4616" w:rsidRDefault="00FA49E1" w:rsidP="007D4616">
            <w:pPr>
              <w:rPr>
                <w:rFonts w:cs="Arial"/>
                <w:szCs w:val="18"/>
              </w:rPr>
            </w:pPr>
            <w:r w:rsidRPr="007D4616">
              <w:rPr>
                <w:rFonts w:cs="Arial"/>
                <w:szCs w:val="18"/>
              </w:rPr>
              <w:t>13</w:t>
            </w:r>
            <w:r>
              <w:rPr>
                <w:rFonts w:cs="Arial"/>
                <w:szCs w:val="18"/>
              </w:rPr>
              <w:t>.</w:t>
            </w:r>
          </w:p>
        </w:tc>
        <w:tc>
          <w:tcPr>
            <w:tcW w:w="9534" w:type="dxa"/>
            <w:hideMark/>
          </w:tcPr>
          <w:p w14:paraId="6CC67C97" w14:textId="16E8E373" w:rsidR="00FA49E1" w:rsidRPr="007D4616" w:rsidRDefault="00FA49E1" w:rsidP="007D4616">
            <w:pPr>
              <w:rPr>
                <w:rFonts w:cs="Arial"/>
                <w:szCs w:val="18"/>
              </w:rPr>
            </w:pPr>
            <w:r w:rsidRPr="007D4616">
              <w:rPr>
                <w:rFonts w:cs="Arial"/>
                <w:b/>
                <w:bCs/>
                <w:szCs w:val="18"/>
              </w:rPr>
              <w:t>Hazardous Materials.</w:t>
            </w:r>
            <w:r w:rsidRPr="007D4616">
              <w:rPr>
                <w:rFonts w:cs="Arial"/>
                <w:szCs w:val="18"/>
              </w:rPr>
              <w:t xml:space="preserve">  If SOUTHLAND INDUSTRIES encounters asbestos, polychlorinated biphenyl (PCB) or other hazardous materials on the Property, SOUTHLAND INDUSTRIES will immediately stop work and report in writing the evidence of such to Customer. SOUTHLAND INDUSTRIES will not resume work in the affected area until the hazardous material has been removed or determined harmless by a qualified laboratory at Customer’s expense.</w:t>
            </w:r>
          </w:p>
        </w:tc>
      </w:tr>
      <w:tr w:rsidR="00FA49E1" w:rsidRPr="007D4616" w14:paraId="40ACFC8B" w14:textId="77777777" w:rsidTr="00381AC6">
        <w:trPr>
          <w:trHeight w:val="1609"/>
        </w:trPr>
        <w:tc>
          <w:tcPr>
            <w:tcW w:w="636" w:type="dxa"/>
            <w:noWrap/>
            <w:hideMark/>
          </w:tcPr>
          <w:p w14:paraId="340DE3DC" w14:textId="53BF6E72" w:rsidR="00FA49E1" w:rsidRPr="007D4616" w:rsidRDefault="00FA49E1" w:rsidP="007D4616">
            <w:pPr>
              <w:rPr>
                <w:rFonts w:cs="Arial"/>
                <w:szCs w:val="18"/>
              </w:rPr>
            </w:pPr>
            <w:r w:rsidRPr="007D4616">
              <w:rPr>
                <w:rFonts w:cs="Arial"/>
                <w:szCs w:val="18"/>
              </w:rPr>
              <w:t>14</w:t>
            </w:r>
            <w:r>
              <w:rPr>
                <w:rFonts w:cs="Arial"/>
                <w:szCs w:val="18"/>
              </w:rPr>
              <w:t>.</w:t>
            </w:r>
          </w:p>
        </w:tc>
        <w:tc>
          <w:tcPr>
            <w:tcW w:w="9534" w:type="dxa"/>
            <w:hideMark/>
          </w:tcPr>
          <w:p w14:paraId="13EB306A" w14:textId="1C772628" w:rsidR="00FA49E1" w:rsidRPr="007D4616" w:rsidRDefault="00FA49E1" w:rsidP="007D4616">
            <w:pPr>
              <w:rPr>
                <w:rFonts w:cs="Arial"/>
                <w:szCs w:val="18"/>
              </w:rPr>
            </w:pPr>
            <w:r w:rsidRPr="007D4616">
              <w:rPr>
                <w:rFonts w:cs="Arial"/>
                <w:b/>
                <w:bCs/>
                <w:szCs w:val="18"/>
              </w:rPr>
              <w:t>Dispute Resolution and Governing Law.</w:t>
            </w:r>
            <w:r w:rsidRPr="007D4616">
              <w:rPr>
                <w:rFonts w:cs="Arial"/>
                <w:szCs w:val="18"/>
              </w:rPr>
              <w:t xml:space="preserve">  This Contract shall be interpreted and construed according to the laws of the state where the Services are performed. SOUTHLAND INDUSTRIES and Customer agree to seek to avoid litigation as a resolution of any disputes.  However, should either party commence legal action against the other, the prevailing party shall be entitled to recover from the other party all court costs, disbursements and reasonable attorneys</w:t>
            </w:r>
            <w:r w:rsidR="00327739">
              <w:rPr>
                <w:rFonts w:cs="Arial"/>
                <w:szCs w:val="18"/>
              </w:rPr>
              <w:t>’</w:t>
            </w:r>
            <w:r w:rsidRPr="007D4616">
              <w:rPr>
                <w:rFonts w:cs="Arial"/>
                <w:szCs w:val="18"/>
              </w:rPr>
              <w:t xml:space="preserve"> fees. Any disputes arising out of or related to this Contract will be resolved by agreement through a meeting of executive representatives of each party.  If no resolution can be reached, the dispute will be resolved through binding arbitration before an arbitrator experienced in construction law and according to the rules promulgated by the American Arbitration Association.  The parties agree that the arbitration will be commenced within sixty (60) days of occurrence of the meeting of executive representatives. </w:t>
            </w:r>
          </w:p>
        </w:tc>
      </w:tr>
      <w:tr w:rsidR="00FA49E1" w:rsidRPr="007D4616" w14:paraId="655FBFF9" w14:textId="77777777" w:rsidTr="00381AC6">
        <w:trPr>
          <w:trHeight w:val="1140"/>
        </w:trPr>
        <w:tc>
          <w:tcPr>
            <w:tcW w:w="636" w:type="dxa"/>
            <w:noWrap/>
            <w:hideMark/>
          </w:tcPr>
          <w:p w14:paraId="47613683" w14:textId="67958189" w:rsidR="00FA49E1" w:rsidRPr="007D4616" w:rsidRDefault="00FA49E1" w:rsidP="007D4616">
            <w:pPr>
              <w:rPr>
                <w:rFonts w:cs="Arial"/>
                <w:szCs w:val="18"/>
              </w:rPr>
            </w:pPr>
            <w:r w:rsidRPr="007D4616">
              <w:rPr>
                <w:rFonts w:cs="Arial"/>
                <w:szCs w:val="18"/>
              </w:rPr>
              <w:t>15</w:t>
            </w:r>
            <w:r>
              <w:rPr>
                <w:rFonts w:cs="Arial"/>
                <w:szCs w:val="18"/>
              </w:rPr>
              <w:t>.</w:t>
            </w:r>
          </w:p>
        </w:tc>
        <w:tc>
          <w:tcPr>
            <w:tcW w:w="9534" w:type="dxa"/>
            <w:hideMark/>
          </w:tcPr>
          <w:p w14:paraId="77752D82" w14:textId="26B023B8" w:rsidR="00FA49E1" w:rsidRPr="007D4616" w:rsidRDefault="00FA49E1" w:rsidP="007D4616">
            <w:pPr>
              <w:rPr>
                <w:rFonts w:cs="Arial"/>
                <w:szCs w:val="18"/>
              </w:rPr>
            </w:pPr>
            <w:r w:rsidRPr="007D4616">
              <w:rPr>
                <w:rFonts w:cs="Arial"/>
                <w:b/>
                <w:bCs/>
                <w:szCs w:val="18"/>
              </w:rPr>
              <w:t>Property Manager.</w:t>
            </w:r>
            <w:r w:rsidRPr="007D4616">
              <w:rPr>
                <w:rFonts w:cs="Arial"/>
                <w:szCs w:val="18"/>
              </w:rPr>
              <w:t xml:space="preserve">  If Customer is a property manager or other legal agent or representative of the property owner, Customer represents and warrants that it has the express requisite authority to enter into all of the terms of this Contract including, without limitation, the authority to waive claims for and recovery of consequential (special/indirect/incidental) and punitive damages on behalf of the property owner as well as for itself.</w:t>
            </w:r>
          </w:p>
        </w:tc>
      </w:tr>
      <w:tr w:rsidR="00FA49E1" w:rsidRPr="007D4616" w14:paraId="45D79E2D" w14:textId="77777777" w:rsidTr="00381AC6">
        <w:trPr>
          <w:trHeight w:val="709"/>
        </w:trPr>
        <w:tc>
          <w:tcPr>
            <w:tcW w:w="636" w:type="dxa"/>
            <w:noWrap/>
            <w:hideMark/>
          </w:tcPr>
          <w:p w14:paraId="25549517" w14:textId="0272F749" w:rsidR="00FA49E1" w:rsidRPr="007D4616" w:rsidRDefault="00FA49E1" w:rsidP="007D4616">
            <w:pPr>
              <w:rPr>
                <w:rFonts w:cs="Arial"/>
                <w:szCs w:val="18"/>
              </w:rPr>
            </w:pPr>
            <w:r w:rsidRPr="007D4616">
              <w:rPr>
                <w:rFonts w:cs="Arial"/>
                <w:szCs w:val="18"/>
              </w:rPr>
              <w:t>16</w:t>
            </w:r>
            <w:r>
              <w:rPr>
                <w:rFonts w:cs="Arial"/>
                <w:szCs w:val="18"/>
              </w:rPr>
              <w:t>.</w:t>
            </w:r>
          </w:p>
        </w:tc>
        <w:tc>
          <w:tcPr>
            <w:tcW w:w="9534" w:type="dxa"/>
            <w:hideMark/>
          </w:tcPr>
          <w:p w14:paraId="38E860D5" w14:textId="33715110" w:rsidR="00FA49E1" w:rsidRPr="007D4616" w:rsidRDefault="00FA49E1" w:rsidP="007D4616">
            <w:pPr>
              <w:rPr>
                <w:rFonts w:cs="Arial"/>
                <w:szCs w:val="18"/>
              </w:rPr>
            </w:pPr>
            <w:r w:rsidRPr="007D4616">
              <w:rPr>
                <w:rFonts w:cs="Arial"/>
                <w:b/>
                <w:bCs/>
                <w:szCs w:val="18"/>
              </w:rPr>
              <w:t>Entire Agreement.</w:t>
            </w:r>
            <w:r w:rsidRPr="007D4616">
              <w:rPr>
                <w:rFonts w:cs="Arial"/>
                <w:szCs w:val="18"/>
              </w:rPr>
              <w:t xml:space="preserve">  This Contract constitutes the entire agreement and is not assignable by either party without the express written consent of the other party. This Contract may be modified or amended only by written agreement of both parties.</w:t>
            </w:r>
          </w:p>
        </w:tc>
      </w:tr>
      <w:tr w:rsidR="00FA49E1" w:rsidRPr="007D4616" w14:paraId="4399C2B5" w14:textId="77777777" w:rsidTr="00381AC6">
        <w:trPr>
          <w:trHeight w:val="1380"/>
        </w:trPr>
        <w:tc>
          <w:tcPr>
            <w:tcW w:w="636" w:type="dxa"/>
            <w:noWrap/>
            <w:hideMark/>
          </w:tcPr>
          <w:p w14:paraId="7BDBF32B" w14:textId="4C073082" w:rsidR="00FA49E1" w:rsidRPr="007D4616" w:rsidRDefault="00FA49E1" w:rsidP="007D4616">
            <w:pPr>
              <w:rPr>
                <w:rFonts w:cs="Arial"/>
                <w:szCs w:val="18"/>
              </w:rPr>
            </w:pPr>
            <w:r w:rsidRPr="007D4616">
              <w:rPr>
                <w:rFonts w:cs="Arial"/>
                <w:szCs w:val="18"/>
              </w:rPr>
              <w:t>17</w:t>
            </w:r>
            <w:r>
              <w:rPr>
                <w:rFonts w:cs="Arial"/>
                <w:szCs w:val="18"/>
              </w:rPr>
              <w:t>.</w:t>
            </w:r>
          </w:p>
        </w:tc>
        <w:tc>
          <w:tcPr>
            <w:tcW w:w="9534" w:type="dxa"/>
            <w:hideMark/>
          </w:tcPr>
          <w:p w14:paraId="400CBC1F" w14:textId="1699E065" w:rsidR="00FA49E1" w:rsidRPr="007D4616" w:rsidRDefault="00FA49E1" w:rsidP="007D4616">
            <w:pPr>
              <w:rPr>
                <w:rFonts w:cs="Arial"/>
                <w:szCs w:val="18"/>
              </w:rPr>
            </w:pPr>
            <w:r w:rsidRPr="007D4616">
              <w:rPr>
                <w:rFonts w:cs="Arial"/>
                <w:b/>
                <w:bCs/>
                <w:szCs w:val="18"/>
              </w:rPr>
              <w:t>Price Adjustments.</w:t>
            </w:r>
            <w:r w:rsidRPr="007D4616">
              <w:rPr>
                <w:rFonts w:cs="Arial"/>
                <w:szCs w:val="18"/>
              </w:rPr>
              <w:t xml:space="preserve"> Notwithstanding anything herein to the contrary, SOUTHLAND INDUSTRIES shall be entitled to an equitable adjustment to the Contract Price for products, materials and equipment supplied hereunder to reflect any increase in SOUTHLAND INDUSTRIES’ procurement costs that were unforeseen at the time this Proposal was submitted to the Customer, due changes in law or taxes, government action, or Trade Restrictions. “Trade Restrictions” is defined as any additional or new tariff/duty, quota, tariff-rate quota, or cost associated with the products, materials or equipment supplied by SOUTHLAND INDUSTRIES hereunder.</w:t>
            </w:r>
          </w:p>
        </w:tc>
      </w:tr>
    </w:tbl>
    <w:p w14:paraId="12C6F887" w14:textId="77777777" w:rsidR="00243D05" w:rsidRPr="00A85F32" w:rsidRDefault="00243D05" w:rsidP="00312097">
      <w:pPr>
        <w:rPr>
          <w:rFonts w:cs="Arial"/>
          <w:szCs w:val="18"/>
        </w:rPr>
      </w:pPr>
    </w:p>
    <w:sectPr w:rsidR="00243D05" w:rsidRPr="00A85F32" w:rsidSect="001868B1">
      <w:headerReference w:type="default" r:id="rId11"/>
      <w:footerReference w:type="default" r:id="rId12"/>
      <w:pgSz w:w="12240" w:h="15840" w:code="1"/>
      <w:pgMar w:top="1722" w:right="864" w:bottom="864" w:left="108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EFCAC" w14:textId="77777777" w:rsidR="006B75E6" w:rsidRDefault="006B75E6" w:rsidP="00E25025">
      <w:pPr>
        <w:spacing w:line="240" w:lineRule="auto"/>
      </w:pPr>
      <w:r>
        <w:separator/>
      </w:r>
    </w:p>
  </w:endnote>
  <w:endnote w:type="continuationSeparator" w:id="0">
    <w:p w14:paraId="24DCB90F" w14:textId="77777777" w:rsidR="006B75E6" w:rsidRDefault="006B75E6" w:rsidP="00E25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fiaProLight">
    <w:altName w:val="Calibri"/>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6CF2" w14:textId="77777777" w:rsidR="00240802" w:rsidRDefault="001868B1" w:rsidP="005C590C">
    <w:pPr>
      <w:pStyle w:val="Footer"/>
      <w:ind w:left="-1944"/>
    </w:pPr>
    <w:r>
      <w:rPr>
        <w:noProof/>
      </w:rPr>
      <mc:AlternateContent>
        <mc:Choice Requires="wps">
          <w:drawing>
            <wp:anchor distT="0" distB="0" distL="114300" distR="114300" simplePos="0" relativeHeight="251659264" behindDoc="0" locked="0" layoutInCell="1" allowOverlap="1" wp14:anchorId="48630245" wp14:editId="195AFDB7">
              <wp:simplePos x="0" y="0"/>
              <wp:positionH relativeFrom="column">
                <wp:posOffset>-22860</wp:posOffset>
              </wp:positionH>
              <wp:positionV relativeFrom="paragraph">
                <wp:posOffset>-449580</wp:posOffset>
              </wp:positionV>
              <wp:extent cx="6976745"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7674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20" w:type="dxa"/>
                            <w:tblBorders>
                              <w:top w:val="single" w:sz="4" w:space="0" w:color="D0D0CE" w:themeColor="accent2"/>
                              <w:left w:val="single" w:sz="4" w:space="0" w:color="D0D0CE" w:themeColor="accent2"/>
                              <w:bottom w:val="single" w:sz="4" w:space="0" w:color="D0D0CE" w:themeColor="accent2"/>
                              <w:right w:val="single" w:sz="4" w:space="0" w:color="D0D0CE" w:themeColor="accent2"/>
                              <w:insideH w:val="none" w:sz="0" w:space="0" w:color="auto"/>
                              <w:insideV w:val="none" w:sz="0" w:space="0" w:color="auto"/>
                            </w:tblBorders>
                            <w:tblLook w:val="04A0" w:firstRow="1" w:lastRow="0" w:firstColumn="1" w:lastColumn="0" w:noHBand="0" w:noVBand="1"/>
                          </w:tblPr>
                          <w:tblGrid>
                            <w:gridCol w:w="3061"/>
                            <w:gridCol w:w="5665"/>
                            <w:gridCol w:w="1548"/>
                          </w:tblGrid>
                          <w:tr w:rsidR="001868B1" w14:paraId="78C497B8" w14:textId="77777777" w:rsidTr="008C2160">
                            <w:trPr>
                              <w:trHeight w:val="350"/>
                            </w:trPr>
                            <w:tc>
                              <w:tcPr>
                                <w:tcW w:w="3061" w:type="dxa"/>
                                <w:tcBorders>
                                  <w:top w:val="single" w:sz="4" w:space="0" w:color="D0D0CE" w:themeColor="accent2"/>
                                  <w:right w:val="single" w:sz="4" w:space="0" w:color="D0D0CE" w:themeColor="accent2"/>
                                </w:tcBorders>
                                <w:vAlign w:val="center"/>
                              </w:tcPr>
                              <w:p w14:paraId="52C4177E" w14:textId="77777777" w:rsidR="001868B1" w:rsidRDefault="001868B1" w:rsidP="008C2160">
                                <w:pPr>
                                  <w:spacing w:line="240" w:lineRule="auto"/>
                                </w:pPr>
                                <w:r>
                                  <w:rPr>
                                    <w:sz w:val="16"/>
                                  </w:rPr>
                                  <w:t>Southland Industries</w:t>
                                </w:r>
                              </w:p>
                            </w:tc>
                            <w:tc>
                              <w:tcPr>
                                <w:tcW w:w="5665" w:type="dxa"/>
                                <w:tcBorders>
                                  <w:top w:val="single" w:sz="4" w:space="0" w:color="D0D0CE" w:themeColor="accent2"/>
                                  <w:left w:val="single" w:sz="4" w:space="0" w:color="D0D0CE" w:themeColor="accent2"/>
                                  <w:bottom w:val="single" w:sz="4" w:space="0" w:color="D0D0CE" w:themeColor="accent2"/>
                                  <w:right w:val="single" w:sz="4" w:space="0" w:color="D0D0CE" w:themeColor="accent2"/>
                                </w:tcBorders>
                                <w:vAlign w:val="center"/>
                              </w:tcPr>
                              <w:p w14:paraId="47C61796" w14:textId="1E7F56D7" w:rsidR="001868B1" w:rsidRPr="00503903" w:rsidRDefault="001868B1" w:rsidP="00515C1C">
                                <w:pPr>
                                  <w:spacing w:line="240" w:lineRule="auto"/>
                                  <w:jc w:val="right"/>
                                  <w:rPr>
                                    <w:sz w:val="16"/>
                                  </w:rPr>
                                </w:pPr>
                                <w:r>
                                  <w:rPr>
                                    <w:sz w:val="16"/>
                                  </w:rPr>
                                  <w:t>v.</w:t>
                                </w:r>
                                <w:r w:rsidR="009F0DA4">
                                  <w:rPr>
                                    <w:sz w:val="16"/>
                                  </w:rPr>
                                  <w:t>9.25</w:t>
                                </w:r>
                                <w:r>
                                  <w:rPr>
                                    <w:sz w:val="16"/>
                                  </w:rPr>
                                  <w:t xml:space="preserve"> </w:t>
                                </w:r>
                              </w:p>
                            </w:tc>
                            <w:tc>
                              <w:tcPr>
                                <w:tcW w:w="1548" w:type="dxa"/>
                                <w:tcBorders>
                                  <w:top w:val="single" w:sz="4" w:space="0" w:color="D0D0CE" w:themeColor="accent2"/>
                                  <w:left w:val="single" w:sz="4" w:space="0" w:color="D0D0CE" w:themeColor="accent2"/>
                                  <w:bottom w:val="single" w:sz="4" w:space="0" w:color="D0D0CE" w:themeColor="accent2"/>
                                </w:tcBorders>
                                <w:vAlign w:val="center"/>
                              </w:tcPr>
                              <w:p w14:paraId="1583B507" w14:textId="30E1A6DD" w:rsidR="001868B1" w:rsidRPr="007666E8" w:rsidRDefault="001868B1" w:rsidP="00E30A96">
                                <w:pPr>
                                  <w:spacing w:line="240" w:lineRule="auto"/>
                                  <w:jc w:val="right"/>
                                  <w:rPr>
                                    <w:rFonts w:asciiTheme="minorHAnsi" w:hAnsiTheme="minorHAnsi" w:cstheme="minorHAnsi"/>
                                    <w:color w:val="FC4C02" w:themeColor="accent1"/>
                                  </w:rPr>
                                </w:pPr>
                                <w:r w:rsidRPr="007666E8">
                                  <w:rPr>
                                    <w:rFonts w:asciiTheme="minorHAnsi" w:hAnsiTheme="minorHAnsi" w:cstheme="minorHAnsi"/>
                                    <w:iCs/>
                                    <w:color w:val="FC4C02" w:themeColor="accent1"/>
                                    <w:sz w:val="16"/>
                                  </w:rPr>
                                  <w:t xml:space="preserve">Page </w:t>
                                </w:r>
                                <w:r w:rsidRPr="007666E8">
                                  <w:rPr>
                                    <w:rFonts w:asciiTheme="minorHAnsi" w:hAnsiTheme="minorHAnsi" w:cstheme="minorHAnsi"/>
                                    <w:iCs/>
                                    <w:color w:val="FC4C02" w:themeColor="accent1"/>
                                    <w:sz w:val="16"/>
                                  </w:rPr>
                                  <w:fldChar w:fldCharType="begin"/>
                                </w:r>
                                <w:r w:rsidRPr="007666E8">
                                  <w:rPr>
                                    <w:rFonts w:asciiTheme="minorHAnsi" w:hAnsiTheme="minorHAnsi" w:cstheme="minorHAnsi"/>
                                    <w:iCs/>
                                    <w:color w:val="FC4C02" w:themeColor="accent1"/>
                                    <w:sz w:val="16"/>
                                  </w:rPr>
                                  <w:instrText xml:space="preserve"> PAGE </w:instrText>
                                </w:r>
                                <w:r w:rsidRPr="007666E8">
                                  <w:rPr>
                                    <w:rFonts w:asciiTheme="minorHAnsi" w:hAnsiTheme="minorHAnsi" w:cstheme="minorHAnsi"/>
                                    <w:iCs/>
                                    <w:color w:val="FC4C02" w:themeColor="accent1"/>
                                    <w:sz w:val="16"/>
                                  </w:rPr>
                                  <w:fldChar w:fldCharType="separate"/>
                                </w:r>
                                <w:r w:rsidR="00E4255A">
                                  <w:rPr>
                                    <w:rFonts w:asciiTheme="minorHAnsi" w:hAnsiTheme="minorHAnsi" w:cstheme="minorHAnsi"/>
                                    <w:iCs/>
                                    <w:noProof/>
                                    <w:color w:val="FC4C02" w:themeColor="accent1"/>
                                    <w:sz w:val="16"/>
                                  </w:rPr>
                                  <w:t>5</w:t>
                                </w:r>
                                <w:r w:rsidRPr="007666E8">
                                  <w:rPr>
                                    <w:rFonts w:asciiTheme="minorHAnsi" w:hAnsiTheme="minorHAnsi" w:cstheme="minorHAnsi"/>
                                    <w:iCs/>
                                    <w:color w:val="FC4C02" w:themeColor="accent1"/>
                                    <w:sz w:val="16"/>
                                  </w:rPr>
                                  <w:fldChar w:fldCharType="end"/>
                                </w:r>
                                <w:r w:rsidRPr="007666E8">
                                  <w:rPr>
                                    <w:rFonts w:asciiTheme="minorHAnsi" w:hAnsiTheme="minorHAnsi" w:cstheme="minorHAnsi"/>
                                    <w:iCs/>
                                    <w:color w:val="FC4C02" w:themeColor="accent1"/>
                                    <w:sz w:val="16"/>
                                  </w:rPr>
                                  <w:t xml:space="preserve"> of </w:t>
                                </w:r>
                                <w:r w:rsidR="00E30A96">
                                  <w:rPr>
                                    <w:rFonts w:asciiTheme="minorHAnsi" w:hAnsiTheme="minorHAnsi" w:cstheme="minorHAnsi"/>
                                    <w:iCs/>
                                    <w:color w:val="FC4C02" w:themeColor="accent1"/>
                                    <w:sz w:val="16"/>
                                  </w:rPr>
                                  <w:fldChar w:fldCharType="begin"/>
                                </w:r>
                                <w:r w:rsidR="00E30A96">
                                  <w:rPr>
                                    <w:rFonts w:asciiTheme="minorHAnsi" w:hAnsiTheme="minorHAnsi" w:cstheme="minorHAnsi"/>
                                    <w:iCs/>
                                    <w:color w:val="FC4C02" w:themeColor="accent1"/>
                                    <w:sz w:val="16"/>
                                  </w:rPr>
                                  <w:instrText xml:space="preserve"> SECTIONPAGES  </w:instrText>
                                </w:r>
                                <w:r w:rsidR="00E30A96">
                                  <w:rPr>
                                    <w:rFonts w:asciiTheme="minorHAnsi" w:hAnsiTheme="minorHAnsi" w:cstheme="minorHAnsi"/>
                                    <w:iCs/>
                                    <w:color w:val="FC4C02" w:themeColor="accent1"/>
                                    <w:sz w:val="16"/>
                                  </w:rPr>
                                  <w:fldChar w:fldCharType="separate"/>
                                </w:r>
                                <w:r w:rsidR="00182E40">
                                  <w:rPr>
                                    <w:rFonts w:asciiTheme="minorHAnsi" w:hAnsiTheme="minorHAnsi" w:cstheme="minorHAnsi"/>
                                    <w:iCs/>
                                    <w:noProof/>
                                    <w:color w:val="FC4C02" w:themeColor="accent1"/>
                                    <w:sz w:val="16"/>
                                  </w:rPr>
                                  <w:t>3</w:t>
                                </w:r>
                                <w:r w:rsidR="00E30A96">
                                  <w:rPr>
                                    <w:rFonts w:asciiTheme="minorHAnsi" w:hAnsiTheme="minorHAnsi" w:cstheme="minorHAnsi"/>
                                    <w:iCs/>
                                    <w:color w:val="FC4C02" w:themeColor="accent1"/>
                                    <w:sz w:val="16"/>
                                  </w:rPr>
                                  <w:fldChar w:fldCharType="end"/>
                                </w:r>
                              </w:p>
                            </w:tc>
                          </w:tr>
                        </w:tbl>
                        <w:p w14:paraId="28FD674E" w14:textId="77777777" w:rsidR="001868B1" w:rsidRDefault="001868B1" w:rsidP="001868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30245" id="_x0000_t202" coordsize="21600,21600" o:spt="202" path="m,l,21600r21600,l21600,xe">
              <v:stroke joinstyle="miter"/>
              <v:path gradientshapeok="t" o:connecttype="rect"/>
            </v:shapetype>
            <v:shape id="Text Box 11" o:spid="_x0000_s1026" type="#_x0000_t202" style="position:absolute;left:0;text-align:left;margin-left:-1.8pt;margin-top:-35.4pt;width:549.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" filled="f" stroked="f">
              <v:textbox>
                <w:txbxContent>
                  <w:tbl>
                    <w:tblPr>
                      <w:tblStyle w:val="TableGrid"/>
                      <w:tblW w:w="0" w:type="auto"/>
                      <w:tblInd w:w="20" w:type="dxa"/>
                      <w:tblBorders>
                        <w:top w:val="single" w:sz="4" w:space="0" w:color="D0D0CE" w:themeColor="accent2"/>
                        <w:left w:val="single" w:sz="4" w:space="0" w:color="D0D0CE" w:themeColor="accent2"/>
                        <w:bottom w:val="single" w:sz="4" w:space="0" w:color="D0D0CE" w:themeColor="accent2"/>
                        <w:right w:val="single" w:sz="4" w:space="0" w:color="D0D0CE" w:themeColor="accent2"/>
                        <w:insideH w:val="none" w:sz="0" w:space="0" w:color="auto"/>
                        <w:insideV w:val="none" w:sz="0" w:space="0" w:color="auto"/>
                      </w:tblBorders>
                      <w:tblLook w:val="04A0" w:firstRow="1" w:lastRow="0" w:firstColumn="1" w:lastColumn="0" w:noHBand="0" w:noVBand="1"/>
                    </w:tblPr>
                    <w:tblGrid>
                      <w:gridCol w:w="3061"/>
                      <w:gridCol w:w="5665"/>
                      <w:gridCol w:w="1548"/>
                    </w:tblGrid>
                    <w:tr w:rsidR="001868B1" w14:paraId="78C497B8" w14:textId="77777777" w:rsidTr="008C2160">
                      <w:trPr>
                        <w:trHeight w:val="350"/>
                      </w:trPr>
                      <w:tc>
                        <w:tcPr>
                          <w:tcW w:w="3061" w:type="dxa"/>
                          <w:tcBorders>
                            <w:top w:val="single" w:sz="4" w:space="0" w:color="D0D0CE" w:themeColor="accent2"/>
                            <w:right w:val="single" w:sz="4" w:space="0" w:color="D0D0CE" w:themeColor="accent2"/>
                          </w:tcBorders>
                          <w:vAlign w:val="center"/>
                        </w:tcPr>
                        <w:p w14:paraId="52C4177E" w14:textId="77777777" w:rsidR="001868B1" w:rsidRDefault="001868B1" w:rsidP="008C2160">
                          <w:pPr>
                            <w:spacing w:line="240" w:lineRule="auto"/>
                          </w:pPr>
                          <w:r>
                            <w:rPr>
                              <w:sz w:val="16"/>
                            </w:rPr>
                            <w:t>Southland Industries</w:t>
                          </w:r>
                        </w:p>
                      </w:tc>
                      <w:tc>
                        <w:tcPr>
                          <w:tcW w:w="5665" w:type="dxa"/>
                          <w:tcBorders>
                            <w:top w:val="single" w:sz="4" w:space="0" w:color="D0D0CE" w:themeColor="accent2"/>
                            <w:left w:val="single" w:sz="4" w:space="0" w:color="D0D0CE" w:themeColor="accent2"/>
                            <w:bottom w:val="single" w:sz="4" w:space="0" w:color="D0D0CE" w:themeColor="accent2"/>
                            <w:right w:val="single" w:sz="4" w:space="0" w:color="D0D0CE" w:themeColor="accent2"/>
                          </w:tcBorders>
                          <w:vAlign w:val="center"/>
                        </w:tcPr>
                        <w:p w14:paraId="47C61796" w14:textId="1E7F56D7" w:rsidR="001868B1" w:rsidRPr="00503903" w:rsidRDefault="001868B1" w:rsidP="00515C1C">
                          <w:pPr>
                            <w:spacing w:line="240" w:lineRule="auto"/>
                            <w:jc w:val="right"/>
                            <w:rPr>
                              <w:sz w:val="16"/>
                            </w:rPr>
                          </w:pPr>
                          <w:r>
                            <w:rPr>
                              <w:sz w:val="16"/>
                            </w:rPr>
                            <w:t>v.</w:t>
                          </w:r>
                          <w:r w:rsidR="009F0DA4">
                            <w:rPr>
                              <w:sz w:val="16"/>
                            </w:rPr>
                            <w:t>9.25</w:t>
                          </w:r>
                          <w:r>
                            <w:rPr>
                              <w:sz w:val="16"/>
                            </w:rPr>
                            <w:t xml:space="preserve"> </w:t>
                          </w:r>
                        </w:p>
                      </w:tc>
                      <w:tc>
                        <w:tcPr>
                          <w:tcW w:w="1548" w:type="dxa"/>
                          <w:tcBorders>
                            <w:top w:val="single" w:sz="4" w:space="0" w:color="D0D0CE" w:themeColor="accent2"/>
                            <w:left w:val="single" w:sz="4" w:space="0" w:color="D0D0CE" w:themeColor="accent2"/>
                            <w:bottom w:val="single" w:sz="4" w:space="0" w:color="D0D0CE" w:themeColor="accent2"/>
                          </w:tcBorders>
                          <w:vAlign w:val="center"/>
                        </w:tcPr>
                        <w:p w14:paraId="1583B507" w14:textId="30E1A6DD" w:rsidR="001868B1" w:rsidRPr="007666E8" w:rsidRDefault="001868B1" w:rsidP="00E30A96">
                          <w:pPr>
                            <w:spacing w:line="240" w:lineRule="auto"/>
                            <w:jc w:val="right"/>
                            <w:rPr>
                              <w:rFonts w:asciiTheme="minorHAnsi" w:hAnsiTheme="minorHAnsi" w:cstheme="minorHAnsi"/>
                              <w:color w:val="FC4C02" w:themeColor="accent1"/>
                            </w:rPr>
                          </w:pPr>
                          <w:r w:rsidRPr="007666E8">
                            <w:rPr>
                              <w:rFonts w:asciiTheme="minorHAnsi" w:hAnsiTheme="minorHAnsi" w:cstheme="minorHAnsi"/>
                              <w:iCs/>
                              <w:color w:val="FC4C02" w:themeColor="accent1"/>
                              <w:sz w:val="16"/>
                            </w:rPr>
                            <w:t xml:space="preserve">Page </w:t>
                          </w:r>
                          <w:r w:rsidRPr="007666E8">
                            <w:rPr>
                              <w:rFonts w:asciiTheme="minorHAnsi" w:hAnsiTheme="minorHAnsi" w:cstheme="minorHAnsi"/>
                              <w:iCs/>
                              <w:color w:val="FC4C02" w:themeColor="accent1"/>
                              <w:sz w:val="16"/>
                            </w:rPr>
                            <w:fldChar w:fldCharType="begin"/>
                          </w:r>
                          <w:r w:rsidRPr="007666E8">
                            <w:rPr>
                              <w:rFonts w:asciiTheme="minorHAnsi" w:hAnsiTheme="minorHAnsi" w:cstheme="minorHAnsi"/>
                              <w:iCs/>
                              <w:color w:val="FC4C02" w:themeColor="accent1"/>
                              <w:sz w:val="16"/>
                            </w:rPr>
                            <w:instrText xml:space="preserve"> PAGE </w:instrText>
                          </w:r>
                          <w:r w:rsidRPr="007666E8">
                            <w:rPr>
                              <w:rFonts w:asciiTheme="minorHAnsi" w:hAnsiTheme="minorHAnsi" w:cstheme="minorHAnsi"/>
                              <w:iCs/>
                              <w:color w:val="FC4C02" w:themeColor="accent1"/>
                              <w:sz w:val="16"/>
                            </w:rPr>
                            <w:fldChar w:fldCharType="separate"/>
                          </w:r>
                          <w:r w:rsidR="00E4255A">
                            <w:rPr>
                              <w:rFonts w:asciiTheme="minorHAnsi" w:hAnsiTheme="minorHAnsi" w:cstheme="minorHAnsi"/>
                              <w:iCs/>
                              <w:noProof/>
                              <w:color w:val="FC4C02" w:themeColor="accent1"/>
                              <w:sz w:val="16"/>
                            </w:rPr>
                            <w:t>5</w:t>
                          </w:r>
                          <w:r w:rsidRPr="007666E8">
                            <w:rPr>
                              <w:rFonts w:asciiTheme="minorHAnsi" w:hAnsiTheme="minorHAnsi" w:cstheme="minorHAnsi"/>
                              <w:iCs/>
                              <w:color w:val="FC4C02" w:themeColor="accent1"/>
                              <w:sz w:val="16"/>
                            </w:rPr>
                            <w:fldChar w:fldCharType="end"/>
                          </w:r>
                          <w:r w:rsidRPr="007666E8">
                            <w:rPr>
                              <w:rFonts w:asciiTheme="minorHAnsi" w:hAnsiTheme="minorHAnsi" w:cstheme="minorHAnsi"/>
                              <w:iCs/>
                              <w:color w:val="FC4C02" w:themeColor="accent1"/>
                              <w:sz w:val="16"/>
                            </w:rPr>
                            <w:t xml:space="preserve"> of </w:t>
                          </w:r>
                          <w:r w:rsidR="00E30A96">
                            <w:rPr>
                              <w:rFonts w:asciiTheme="minorHAnsi" w:hAnsiTheme="minorHAnsi" w:cstheme="minorHAnsi"/>
                              <w:iCs/>
                              <w:color w:val="FC4C02" w:themeColor="accent1"/>
                              <w:sz w:val="16"/>
                            </w:rPr>
                            <w:fldChar w:fldCharType="begin"/>
                          </w:r>
                          <w:r w:rsidR="00E30A96">
                            <w:rPr>
                              <w:rFonts w:asciiTheme="minorHAnsi" w:hAnsiTheme="minorHAnsi" w:cstheme="minorHAnsi"/>
                              <w:iCs/>
                              <w:color w:val="FC4C02" w:themeColor="accent1"/>
                              <w:sz w:val="16"/>
                            </w:rPr>
                            <w:instrText xml:space="preserve"> SECTIONPAGES  </w:instrText>
                          </w:r>
                          <w:r w:rsidR="00E30A96">
                            <w:rPr>
                              <w:rFonts w:asciiTheme="minorHAnsi" w:hAnsiTheme="minorHAnsi" w:cstheme="minorHAnsi"/>
                              <w:iCs/>
                              <w:color w:val="FC4C02" w:themeColor="accent1"/>
                              <w:sz w:val="16"/>
                            </w:rPr>
                            <w:fldChar w:fldCharType="separate"/>
                          </w:r>
                          <w:r w:rsidR="00182E40">
                            <w:rPr>
                              <w:rFonts w:asciiTheme="minorHAnsi" w:hAnsiTheme="minorHAnsi" w:cstheme="minorHAnsi"/>
                              <w:iCs/>
                              <w:noProof/>
                              <w:color w:val="FC4C02" w:themeColor="accent1"/>
                              <w:sz w:val="16"/>
                            </w:rPr>
                            <w:t>3</w:t>
                          </w:r>
                          <w:r w:rsidR="00E30A96">
                            <w:rPr>
                              <w:rFonts w:asciiTheme="minorHAnsi" w:hAnsiTheme="minorHAnsi" w:cstheme="minorHAnsi"/>
                              <w:iCs/>
                              <w:color w:val="FC4C02" w:themeColor="accent1"/>
                              <w:sz w:val="16"/>
                            </w:rPr>
                            <w:fldChar w:fldCharType="end"/>
                          </w:r>
                        </w:p>
                      </w:tc>
                    </w:tr>
                  </w:tbl>
                  <w:p w14:paraId="28FD674E" w14:textId="77777777" w:rsidR="001868B1" w:rsidRDefault="001868B1" w:rsidP="001868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D0DE" w14:textId="77777777" w:rsidR="006B75E6" w:rsidRDefault="006B75E6" w:rsidP="00E25025">
      <w:pPr>
        <w:spacing w:line="240" w:lineRule="auto"/>
      </w:pPr>
      <w:r>
        <w:separator/>
      </w:r>
    </w:p>
  </w:footnote>
  <w:footnote w:type="continuationSeparator" w:id="0">
    <w:p w14:paraId="3AE2787A" w14:textId="77777777" w:rsidR="006B75E6" w:rsidRDefault="006B75E6" w:rsidP="00E25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2"/>
      <w:gridCol w:w="6698"/>
    </w:tblGrid>
    <w:tr w:rsidR="00240802" w14:paraId="2ACAB665" w14:textId="77777777" w:rsidTr="001868B1">
      <w:trPr>
        <w:trHeight w:val="720"/>
      </w:trPr>
      <w:tc>
        <w:tcPr>
          <w:tcW w:w="3562" w:type="dxa"/>
          <w:tcBorders>
            <w:bottom w:val="nil"/>
          </w:tcBorders>
        </w:tcPr>
        <w:p w14:paraId="1C3B9551" w14:textId="77777777" w:rsidR="00240802" w:rsidRPr="00240802" w:rsidRDefault="00240802" w:rsidP="00240802">
          <w:pPr>
            <w:pStyle w:val="Header"/>
            <w:tabs>
              <w:tab w:val="clear" w:pos="4320"/>
              <w:tab w:val="clear" w:pos="8640"/>
            </w:tabs>
            <w:ind w:left="-180"/>
            <w:jc w:val="right"/>
            <w:rPr>
              <w:b/>
              <w:color w:val="FF0000"/>
              <w:sz w:val="36"/>
              <w:szCs w:val="36"/>
            </w:rPr>
          </w:pPr>
          <w:r w:rsidRPr="00240802">
            <w:rPr>
              <w:b/>
              <w:noProof/>
              <w:color w:val="FF0000"/>
              <w:sz w:val="36"/>
              <w:szCs w:val="36"/>
            </w:rPr>
            <w:drawing>
              <wp:inline distT="0" distB="0" distL="0" distR="0" wp14:anchorId="73890151" wp14:editId="6A047756">
                <wp:extent cx="2239391" cy="563991"/>
                <wp:effectExtent l="0" t="0" r="0" b="0"/>
                <wp:docPr id="385519088" name="Picture 385519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landInd_Logo_1655_pos_FIN.png"/>
                        <pic:cNvPicPr/>
                      </pic:nvPicPr>
                      <pic:blipFill>
                        <a:blip r:embed="rId1">
                          <a:extLst>
                            <a:ext uri="{28A0092B-C50C-407E-A947-70E740481C1C}">
                              <a14:useLocalDpi xmlns:a14="http://schemas.microsoft.com/office/drawing/2010/main" val="0"/>
                            </a:ext>
                          </a:extLst>
                        </a:blip>
                        <a:stretch>
                          <a:fillRect/>
                        </a:stretch>
                      </pic:blipFill>
                      <pic:spPr>
                        <a:xfrm>
                          <a:off x="0" y="0"/>
                          <a:ext cx="2239391" cy="563991"/>
                        </a:xfrm>
                        <a:prstGeom prst="rect">
                          <a:avLst/>
                        </a:prstGeom>
                      </pic:spPr>
                    </pic:pic>
                  </a:graphicData>
                </a:graphic>
              </wp:inline>
            </w:drawing>
          </w:r>
        </w:p>
      </w:tc>
      <w:tc>
        <w:tcPr>
          <w:tcW w:w="6698" w:type="dxa"/>
          <w:tcBorders>
            <w:bottom w:val="nil"/>
          </w:tcBorders>
          <w:vAlign w:val="center"/>
        </w:tcPr>
        <w:p w14:paraId="34DC02C4" w14:textId="5AD5003E" w:rsidR="00B50F70" w:rsidRDefault="009F0DA4" w:rsidP="00240802">
          <w:pPr>
            <w:pStyle w:val="Heading5"/>
            <w:spacing w:before="0" w:line="240" w:lineRule="auto"/>
            <w:jc w:val="right"/>
            <w:rPr>
              <w:rFonts w:cstheme="majorHAnsi"/>
              <w:b/>
              <w:color w:val="FC4C02" w:themeColor="accent1"/>
              <w:sz w:val="36"/>
              <w:szCs w:val="36"/>
            </w:rPr>
          </w:pPr>
          <w:r>
            <w:rPr>
              <w:rFonts w:cstheme="majorHAnsi"/>
              <w:b/>
              <w:color w:val="FC4C02" w:themeColor="accent1"/>
              <w:sz w:val="36"/>
              <w:szCs w:val="36"/>
            </w:rPr>
            <w:t>Standard Service T&amp;Cs</w:t>
          </w:r>
        </w:p>
        <w:p w14:paraId="7762F7D6" w14:textId="7E743B6E" w:rsidR="00240802" w:rsidRPr="00B50F70" w:rsidRDefault="00240802" w:rsidP="00B50F70">
          <w:pPr>
            <w:pStyle w:val="Heading5"/>
            <w:spacing w:before="0" w:line="240" w:lineRule="auto"/>
            <w:jc w:val="right"/>
            <w:rPr>
              <w:rFonts w:cstheme="majorHAnsi"/>
              <w:b/>
              <w:color w:val="FC4C02" w:themeColor="accent1"/>
              <w:sz w:val="36"/>
              <w:szCs w:val="36"/>
            </w:rPr>
          </w:pPr>
          <w:r w:rsidRPr="00240802">
            <w:rPr>
              <w:rFonts w:cstheme="majorHAnsi"/>
              <w:b/>
              <w:color w:val="FC4C02" w:themeColor="accent1"/>
              <w:sz w:val="36"/>
              <w:szCs w:val="36"/>
            </w:rPr>
            <w:t xml:space="preserve"> </w:t>
          </w:r>
        </w:p>
      </w:tc>
    </w:tr>
    <w:tr w:rsidR="00240802" w14:paraId="22275F89" w14:textId="77777777" w:rsidTr="001868B1">
      <w:trPr>
        <w:trHeight w:val="270"/>
      </w:trPr>
      <w:tc>
        <w:tcPr>
          <w:tcW w:w="10260" w:type="dxa"/>
          <w:gridSpan w:val="2"/>
          <w:tcBorders>
            <w:bottom w:val="single" w:sz="4" w:space="0" w:color="auto"/>
          </w:tcBorders>
        </w:tcPr>
        <w:p w14:paraId="3DC3F8AA" w14:textId="77777777" w:rsidR="00240802" w:rsidRPr="006009F1" w:rsidRDefault="00240802" w:rsidP="00493EFD">
          <w:pPr>
            <w:pStyle w:val="Heading5"/>
            <w:tabs>
              <w:tab w:val="left" w:pos="1112"/>
              <w:tab w:val="left" w:pos="1973"/>
            </w:tabs>
            <w:rPr>
              <w:rFonts w:cstheme="majorHAnsi"/>
            </w:rPr>
          </w:pPr>
          <w:r>
            <w:rPr>
              <w:rFonts w:cstheme="majorHAnsi"/>
            </w:rPr>
            <w:tab/>
          </w:r>
          <w:r>
            <w:rPr>
              <w:rFonts w:cstheme="majorHAnsi"/>
            </w:rPr>
            <w:tab/>
          </w:r>
        </w:p>
      </w:tc>
    </w:tr>
  </w:tbl>
  <w:p w14:paraId="5B88D313" w14:textId="77777777" w:rsidR="00240802" w:rsidRDefault="00240802" w:rsidP="005C590C">
    <w:pPr>
      <w:pStyle w:val="Header"/>
      <w:ind w:left="-19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E6A"/>
    <w:multiLevelType w:val="multilevel"/>
    <w:tmpl w:val="29B6703E"/>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336899"/>
    <w:multiLevelType w:val="hybridMultilevel"/>
    <w:tmpl w:val="F7C29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D0D13"/>
    <w:multiLevelType w:val="multilevel"/>
    <w:tmpl w:val="98FA488E"/>
    <w:lvl w:ilvl="0">
      <w:start w:val="1"/>
      <w:numFmt w:val="bullet"/>
      <w:lvlText w:val=""/>
      <w:lvlJc w:val="left"/>
      <w:pPr>
        <w:ind w:left="1080" w:hanging="72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3" w15:restartNumberingAfterBreak="0">
    <w:nsid w:val="288B1735"/>
    <w:multiLevelType w:val="hybridMultilevel"/>
    <w:tmpl w:val="25CE9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A3EC1"/>
    <w:multiLevelType w:val="hybridMultilevel"/>
    <w:tmpl w:val="FAD8D5F4"/>
    <w:lvl w:ilvl="0" w:tplc="824048D2">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Symbol" w:hAnsi="Symbol" w:hint="default"/>
      </w:rPr>
    </w:lvl>
  </w:abstractNum>
  <w:abstractNum w:abstractNumId="5" w15:restartNumberingAfterBreak="0">
    <w:nsid w:val="2B005E51"/>
    <w:multiLevelType w:val="hybridMultilevel"/>
    <w:tmpl w:val="10E2E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B0362"/>
    <w:multiLevelType w:val="multilevel"/>
    <w:tmpl w:val="99D05FCE"/>
    <w:lvl w:ilvl="0">
      <w:start w:val="1"/>
      <w:numFmt w:val="decimal"/>
      <w:lvlText w:val="%1."/>
      <w:lvlJc w:val="left"/>
      <w:pPr>
        <w:ind w:left="360" w:hanging="360"/>
      </w:pPr>
      <w:rPr>
        <w:sz w:val="22"/>
      </w:rPr>
    </w:lvl>
    <w:lvl w:ilvl="1">
      <w:start w:val="1"/>
      <w:numFmt w:val="decimal"/>
      <w:lvlText w:val="%2."/>
      <w:lvlJc w:val="left"/>
      <w:pPr>
        <w:ind w:left="792" w:hanging="432"/>
      </w:pPr>
      <w:rPr>
        <w:rFonts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C85E4D"/>
    <w:multiLevelType w:val="hybridMultilevel"/>
    <w:tmpl w:val="0AC803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5C7407"/>
    <w:multiLevelType w:val="multilevel"/>
    <w:tmpl w:val="99D05FCE"/>
    <w:lvl w:ilvl="0">
      <w:start w:val="1"/>
      <w:numFmt w:val="decimal"/>
      <w:lvlText w:val="%1."/>
      <w:lvlJc w:val="left"/>
      <w:pPr>
        <w:ind w:left="360" w:hanging="360"/>
      </w:pPr>
      <w:rPr>
        <w:sz w:val="22"/>
      </w:rPr>
    </w:lvl>
    <w:lvl w:ilvl="1">
      <w:start w:val="1"/>
      <w:numFmt w:val="decimal"/>
      <w:lvlText w:val="%2."/>
      <w:lvlJc w:val="left"/>
      <w:pPr>
        <w:ind w:left="792" w:hanging="432"/>
      </w:pPr>
      <w:rPr>
        <w:rFonts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05483"/>
    <w:multiLevelType w:val="hybridMultilevel"/>
    <w:tmpl w:val="DA0CA0C6"/>
    <w:lvl w:ilvl="0" w:tplc="DE088BFA">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50981116"/>
    <w:multiLevelType w:val="multilevel"/>
    <w:tmpl w:val="9E6AF7F8"/>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EC06DE"/>
    <w:multiLevelType w:val="hybridMultilevel"/>
    <w:tmpl w:val="67BAE5A8"/>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2" w15:restartNumberingAfterBreak="0">
    <w:nsid w:val="5267035D"/>
    <w:multiLevelType w:val="multilevel"/>
    <w:tmpl w:val="F334CC76"/>
    <w:lvl w:ilvl="0">
      <w:start w:val="1"/>
      <w:numFmt w:val="decimal"/>
      <w:lvlText w:val="%1."/>
      <w:lvlJc w:val="left"/>
      <w:pPr>
        <w:ind w:left="360" w:hanging="360"/>
      </w:pPr>
      <w:rPr>
        <w:rFonts w:ascii="Arial Bold" w:hAnsi="Arial Bold"/>
        <w:b/>
      </w:rPr>
    </w:lvl>
    <w:lvl w:ilvl="1">
      <w:start w:val="1"/>
      <w:numFmt w:val="decimal"/>
      <w:lvlText w:val="%1.%2."/>
      <w:lvlJc w:val="left"/>
      <w:pPr>
        <w:ind w:left="792" w:hanging="432"/>
      </w:pPr>
      <w:rPr>
        <w:rFonts w:ascii="Arial Bold" w:hAnsi="Arial Bold"/>
        <w:b/>
      </w:rPr>
    </w:lvl>
    <w:lvl w:ilvl="2">
      <w:start w:val="1"/>
      <w:numFmt w:val="decimal"/>
      <w:lvlText w:val="%1.%2.%3."/>
      <w:lvlJc w:val="left"/>
      <w:pPr>
        <w:ind w:left="1224" w:hanging="504"/>
      </w:pPr>
      <w:rPr>
        <w:rFonts w:ascii="Arial Bold" w:hAnsi="Arial Bold"/>
        <w:b/>
      </w:rPr>
    </w:lvl>
    <w:lvl w:ilvl="3">
      <w:start w:val="1"/>
      <w:numFmt w:val="decimal"/>
      <w:lvlText w:val="%1.%2.%3.%4."/>
      <w:lvlJc w:val="left"/>
      <w:pPr>
        <w:ind w:left="1728" w:hanging="648"/>
      </w:pPr>
      <w:rPr>
        <w:rFonts w:ascii="Arial Bold" w:hAnsi="Arial Bold"/>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3D3DEB"/>
    <w:multiLevelType w:val="multilevel"/>
    <w:tmpl w:val="983E2BDE"/>
    <w:lvl w:ilvl="0">
      <w:start w:val="1"/>
      <w:numFmt w:val="bullet"/>
      <w:lvlText w:val=""/>
      <w:lvlJc w:val="left"/>
      <w:pPr>
        <w:ind w:left="36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14" w15:restartNumberingAfterBreak="0">
    <w:nsid w:val="5EC1521B"/>
    <w:multiLevelType w:val="multilevel"/>
    <w:tmpl w:val="4CB89D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Symbol" w:hAnsi="Symbol" w:hint="default"/>
      </w:rPr>
    </w:lvl>
  </w:abstractNum>
  <w:abstractNum w:abstractNumId="15" w15:restartNumberingAfterBreak="0">
    <w:nsid w:val="61EA08EF"/>
    <w:multiLevelType w:val="multilevel"/>
    <w:tmpl w:val="CC52EBEE"/>
    <w:lvl w:ilvl="0">
      <w:start w:val="1"/>
      <w:numFmt w:val="decimal"/>
      <w:lvlText w:val="%1."/>
      <w:lvlJc w:val="left"/>
      <w:pPr>
        <w:ind w:left="360" w:hanging="360"/>
      </w:pPr>
      <w:rPr>
        <w:sz w:val="22"/>
      </w:rPr>
    </w:lvl>
    <w:lvl w:ilvl="1">
      <w:start w:val="1"/>
      <w:numFmt w:val="bullet"/>
      <w:lvlText w:val=""/>
      <w:lvlJc w:val="left"/>
      <w:pPr>
        <w:ind w:left="792" w:hanging="432"/>
      </w:pPr>
      <w:rPr>
        <w:rFonts w:ascii="Symbol" w:hAnsi="Symbol" w:hint="default"/>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295AC8"/>
    <w:multiLevelType w:val="multilevel"/>
    <w:tmpl w:val="0EA05EFE"/>
    <w:lvl w:ilvl="0">
      <w:start w:val="1"/>
      <w:numFmt w:val="decimal"/>
      <w:lvlText w:val="%1."/>
      <w:lvlJc w:val="left"/>
      <w:pPr>
        <w:ind w:left="360" w:hanging="360"/>
      </w:pPr>
      <w:rPr>
        <w:rFonts w:ascii="Arial Bold" w:hAnsi="Arial Bold"/>
        <w:b/>
      </w:rPr>
    </w:lvl>
    <w:lvl w:ilvl="1">
      <w:start w:val="1"/>
      <w:numFmt w:val="decimal"/>
      <w:lvlText w:val="%1.%2."/>
      <w:lvlJc w:val="left"/>
      <w:pPr>
        <w:ind w:left="792" w:hanging="432"/>
      </w:pPr>
      <w:rPr>
        <w:rFonts w:ascii="Arial Bold" w:hAnsi="Arial Bold"/>
        <w:b/>
      </w:rPr>
    </w:lvl>
    <w:lvl w:ilvl="2">
      <w:start w:val="1"/>
      <w:numFmt w:val="decimal"/>
      <w:lvlText w:val="%1.%2.%3."/>
      <w:lvlJc w:val="left"/>
      <w:pPr>
        <w:ind w:left="1224" w:hanging="504"/>
      </w:pPr>
      <w:rPr>
        <w:rFonts w:ascii="Arial Bold" w:hAnsi="Arial Bold"/>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D21A4D"/>
    <w:multiLevelType w:val="hybridMultilevel"/>
    <w:tmpl w:val="75E44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11262A"/>
    <w:multiLevelType w:val="multilevel"/>
    <w:tmpl w:val="9E6AF7F8"/>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A7F3A85"/>
    <w:multiLevelType w:val="multilevel"/>
    <w:tmpl w:val="81CE2A36"/>
    <w:lvl w:ilvl="0">
      <w:start w:val="1"/>
      <w:numFmt w:val="decimal"/>
      <w:lvlText w:val="%1."/>
      <w:lvlJc w:val="left"/>
      <w:pPr>
        <w:ind w:left="360" w:hanging="360"/>
      </w:pPr>
      <w:rPr>
        <w:sz w:val="22"/>
      </w:rPr>
    </w:lvl>
    <w:lvl w:ilvl="1">
      <w:start w:val="1"/>
      <w:numFmt w:val="decimal"/>
      <w:lvlText w:val="%1.%2."/>
      <w:lvlJc w:val="left"/>
      <w:pPr>
        <w:ind w:left="792" w:hanging="432"/>
      </w:pPr>
      <w:rPr>
        <w:sz w:val="18"/>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D1E4E"/>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595405938">
    <w:abstractNumId w:val="4"/>
  </w:num>
  <w:num w:numId="2" w16cid:durableId="104345923">
    <w:abstractNumId w:val="14"/>
  </w:num>
  <w:num w:numId="3" w16cid:durableId="1409234805">
    <w:abstractNumId w:val="9"/>
  </w:num>
  <w:num w:numId="4" w16cid:durableId="309798384">
    <w:abstractNumId w:val="13"/>
  </w:num>
  <w:num w:numId="5" w16cid:durableId="982807914">
    <w:abstractNumId w:val="2"/>
  </w:num>
  <w:num w:numId="6" w16cid:durableId="863908963">
    <w:abstractNumId w:val="8"/>
  </w:num>
  <w:num w:numId="7" w16cid:durableId="1947035088">
    <w:abstractNumId w:val="7"/>
  </w:num>
  <w:num w:numId="8" w16cid:durableId="92018244">
    <w:abstractNumId w:val="0"/>
  </w:num>
  <w:num w:numId="9" w16cid:durableId="1257054812">
    <w:abstractNumId w:val="3"/>
  </w:num>
  <w:num w:numId="10" w16cid:durableId="740248262">
    <w:abstractNumId w:val="6"/>
  </w:num>
  <w:num w:numId="11" w16cid:durableId="380907859">
    <w:abstractNumId w:val="18"/>
  </w:num>
  <w:num w:numId="12" w16cid:durableId="1494250030">
    <w:abstractNumId w:val="10"/>
  </w:num>
  <w:num w:numId="13" w16cid:durableId="1492059665">
    <w:abstractNumId w:val="11"/>
  </w:num>
  <w:num w:numId="14" w16cid:durableId="311183686">
    <w:abstractNumId w:val="17"/>
  </w:num>
  <w:num w:numId="15" w16cid:durableId="1952277838">
    <w:abstractNumId w:val="1"/>
  </w:num>
  <w:num w:numId="16" w16cid:durableId="176310447">
    <w:abstractNumId w:val="12"/>
  </w:num>
  <w:num w:numId="17" w16cid:durableId="1121151609">
    <w:abstractNumId w:val="5"/>
  </w:num>
  <w:num w:numId="18" w16cid:durableId="674842356">
    <w:abstractNumId w:val="16"/>
  </w:num>
  <w:num w:numId="19" w16cid:durableId="605425060">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4139062">
    <w:abstractNumId w:val="8"/>
  </w:num>
  <w:num w:numId="21" w16cid:durableId="1820075815">
    <w:abstractNumId w:val="15"/>
  </w:num>
  <w:num w:numId="22" w16cid:durableId="143013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FF"/>
    <w:rsid w:val="0003587D"/>
    <w:rsid w:val="00037915"/>
    <w:rsid w:val="00041752"/>
    <w:rsid w:val="0005426E"/>
    <w:rsid w:val="00076116"/>
    <w:rsid w:val="00076A00"/>
    <w:rsid w:val="000817C9"/>
    <w:rsid w:val="000836A5"/>
    <w:rsid w:val="000939D7"/>
    <w:rsid w:val="000B1636"/>
    <w:rsid w:val="000C784D"/>
    <w:rsid w:val="000D0C95"/>
    <w:rsid w:val="000E71B9"/>
    <w:rsid w:val="0010399E"/>
    <w:rsid w:val="0010578A"/>
    <w:rsid w:val="001114F7"/>
    <w:rsid w:val="001614FE"/>
    <w:rsid w:val="00164A8A"/>
    <w:rsid w:val="00182E40"/>
    <w:rsid w:val="001868B1"/>
    <w:rsid w:val="001910C7"/>
    <w:rsid w:val="001A20FF"/>
    <w:rsid w:val="001B03CE"/>
    <w:rsid w:val="001C0146"/>
    <w:rsid w:val="001C365F"/>
    <w:rsid w:val="001E396C"/>
    <w:rsid w:val="001F6EDC"/>
    <w:rsid w:val="0021343F"/>
    <w:rsid w:val="0022796F"/>
    <w:rsid w:val="00240802"/>
    <w:rsid w:val="00243D05"/>
    <w:rsid w:val="00250016"/>
    <w:rsid w:val="00256D96"/>
    <w:rsid w:val="00266E38"/>
    <w:rsid w:val="002713BC"/>
    <w:rsid w:val="00280C96"/>
    <w:rsid w:val="00293E4E"/>
    <w:rsid w:val="00294623"/>
    <w:rsid w:val="002A0A4B"/>
    <w:rsid w:val="002B7565"/>
    <w:rsid w:val="002C6925"/>
    <w:rsid w:val="002E7114"/>
    <w:rsid w:val="00310AAC"/>
    <w:rsid w:val="00316DEF"/>
    <w:rsid w:val="00321772"/>
    <w:rsid w:val="0032498F"/>
    <w:rsid w:val="00327739"/>
    <w:rsid w:val="00330BE8"/>
    <w:rsid w:val="00351EC2"/>
    <w:rsid w:val="0035295A"/>
    <w:rsid w:val="00355AC8"/>
    <w:rsid w:val="0036118F"/>
    <w:rsid w:val="003645B2"/>
    <w:rsid w:val="0038092D"/>
    <w:rsid w:val="00381AC6"/>
    <w:rsid w:val="0039033E"/>
    <w:rsid w:val="0039145D"/>
    <w:rsid w:val="00394E42"/>
    <w:rsid w:val="003F34CC"/>
    <w:rsid w:val="003F5858"/>
    <w:rsid w:val="00400EA6"/>
    <w:rsid w:val="00406542"/>
    <w:rsid w:val="00407FA9"/>
    <w:rsid w:val="0042188B"/>
    <w:rsid w:val="00426C3C"/>
    <w:rsid w:val="0043746C"/>
    <w:rsid w:val="00444599"/>
    <w:rsid w:val="00463429"/>
    <w:rsid w:val="00477345"/>
    <w:rsid w:val="00485B93"/>
    <w:rsid w:val="004861FE"/>
    <w:rsid w:val="0049058E"/>
    <w:rsid w:val="004931AB"/>
    <w:rsid w:val="004C68BF"/>
    <w:rsid w:val="004D0B82"/>
    <w:rsid w:val="004D6861"/>
    <w:rsid w:val="004F3FC6"/>
    <w:rsid w:val="00505778"/>
    <w:rsid w:val="00512830"/>
    <w:rsid w:val="005249BC"/>
    <w:rsid w:val="00543730"/>
    <w:rsid w:val="00544F12"/>
    <w:rsid w:val="00564B72"/>
    <w:rsid w:val="00581CCD"/>
    <w:rsid w:val="0059349C"/>
    <w:rsid w:val="005A3FB6"/>
    <w:rsid w:val="005B068F"/>
    <w:rsid w:val="005B7DC8"/>
    <w:rsid w:val="005C590C"/>
    <w:rsid w:val="005E380E"/>
    <w:rsid w:val="005E7122"/>
    <w:rsid w:val="005F1D84"/>
    <w:rsid w:val="005F52D7"/>
    <w:rsid w:val="005F7242"/>
    <w:rsid w:val="0061566C"/>
    <w:rsid w:val="006258C2"/>
    <w:rsid w:val="0063471E"/>
    <w:rsid w:val="0064245F"/>
    <w:rsid w:val="00665339"/>
    <w:rsid w:val="00673F9A"/>
    <w:rsid w:val="00680BF9"/>
    <w:rsid w:val="0068107B"/>
    <w:rsid w:val="006A1694"/>
    <w:rsid w:val="006B2A0E"/>
    <w:rsid w:val="006B3893"/>
    <w:rsid w:val="006B75E6"/>
    <w:rsid w:val="006E16B8"/>
    <w:rsid w:val="006E70BC"/>
    <w:rsid w:val="00700AFF"/>
    <w:rsid w:val="00735AA2"/>
    <w:rsid w:val="00742257"/>
    <w:rsid w:val="00745301"/>
    <w:rsid w:val="007459CD"/>
    <w:rsid w:val="00763CAB"/>
    <w:rsid w:val="0077734C"/>
    <w:rsid w:val="007B5FFD"/>
    <w:rsid w:val="007C4B15"/>
    <w:rsid w:val="007C6F52"/>
    <w:rsid w:val="007D4616"/>
    <w:rsid w:val="007D6DB0"/>
    <w:rsid w:val="007E3E44"/>
    <w:rsid w:val="007E546C"/>
    <w:rsid w:val="00806779"/>
    <w:rsid w:val="00840BE8"/>
    <w:rsid w:val="00841C92"/>
    <w:rsid w:val="008562EA"/>
    <w:rsid w:val="00864055"/>
    <w:rsid w:val="00871387"/>
    <w:rsid w:val="00881468"/>
    <w:rsid w:val="008901B9"/>
    <w:rsid w:val="00890BBC"/>
    <w:rsid w:val="008A20BC"/>
    <w:rsid w:val="008A5824"/>
    <w:rsid w:val="008A6997"/>
    <w:rsid w:val="008B53B9"/>
    <w:rsid w:val="008C6D26"/>
    <w:rsid w:val="008D259A"/>
    <w:rsid w:val="008E5046"/>
    <w:rsid w:val="008F66E0"/>
    <w:rsid w:val="008F7848"/>
    <w:rsid w:val="009116B5"/>
    <w:rsid w:val="00933BAB"/>
    <w:rsid w:val="009416AA"/>
    <w:rsid w:val="00944CB0"/>
    <w:rsid w:val="0095161D"/>
    <w:rsid w:val="00963D10"/>
    <w:rsid w:val="009724AC"/>
    <w:rsid w:val="0098320F"/>
    <w:rsid w:val="009A0A99"/>
    <w:rsid w:val="009B0B4E"/>
    <w:rsid w:val="009C6391"/>
    <w:rsid w:val="009C6B3A"/>
    <w:rsid w:val="009E7395"/>
    <w:rsid w:val="009F0DA4"/>
    <w:rsid w:val="00A10B8E"/>
    <w:rsid w:val="00A213CA"/>
    <w:rsid w:val="00A2198E"/>
    <w:rsid w:val="00A24D8C"/>
    <w:rsid w:val="00A43DAE"/>
    <w:rsid w:val="00A46716"/>
    <w:rsid w:val="00A512D7"/>
    <w:rsid w:val="00A554D0"/>
    <w:rsid w:val="00A756BD"/>
    <w:rsid w:val="00A8146A"/>
    <w:rsid w:val="00A84ED4"/>
    <w:rsid w:val="00A92F00"/>
    <w:rsid w:val="00A9466F"/>
    <w:rsid w:val="00AA2884"/>
    <w:rsid w:val="00AA7515"/>
    <w:rsid w:val="00AB35C8"/>
    <w:rsid w:val="00AD2D0F"/>
    <w:rsid w:val="00AF7749"/>
    <w:rsid w:val="00B04CC4"/>
    <w:rsid w:val="00B37D16"/>
    <w:rsid w:val="00B505BB"/>
    <w:rsid w:val="00B50F70"/>
    <w:rsid w:val="00B56847"/>
    <w:rsid w:val="00B72AE7"/>
    <w:rsid w:val="00B76B23"/>
    <w:rsid w:val="00B85A93"/>
    <w:rsid w:val="00B93CD4"/>
    <w:rsid w:val="00BC2A47"/>
    <w:rsid w:val="00BC6DBA"/>
    <w:rsid w:val="00BD5FF1"/>
    <w:rsid w:val="00BE00BE"/>
    <w:rsid w:val="00BF6DC7"/>
    <w:rsid w:val="00BF78E2"/>
    <w:rsid w:val="00C00614"/>
    <w:rsid w:val="00C10359"/>
    <w:rsid w:val="00C20B57"/>
    <w:rsid w:val="00C2778F"/>
    <w:rsid w:val="00C57B16"/>
    <w:rsid w:val="00C7780A"/>
    <w:rsid w:val="00CB35A0"/>
    <w:rsid w:val="00CB7406"/>
    <w:rsid w:val="00CC6345"/>
    <w:rsid w:val="00CD4DCA"/>
    <w:rsid w:val="00CD550A"/>
    <w:rsid w:val="00CE3752"/>
    <w:rsid w:val="00CE44BB"/>
    <w:rsid w:val="00D01B5F"/>
    <w:rsid w:val="00D05792"/>
    <w:rsid w:val="00D12F12"/>
    <w:rsid w:val="00D15B4F"/>
    <w:rsid w:val="00D54F1F"/>
    <w:rsid w:val="00D64DFF"/>
    <w:rsid w:val="00D7320E"/>
    <w:rsid w:val="00D92438"/>
    <w:rsid w:val="00D9661D"/>
    <w:rsid w:val="00D96718"/>
    <w:rsid w:val="00DD2B77"/>
    <w:rsid w:val="00DD5AB3"/>
    <w:rsid w:val="00DE3479"/>
    <w:rsid w:val="00DE7992"/>
    <w:rsid w:val="00DF6588"/>
    <w:rsid w:val="00DF665A"/>
    <w:rsid w:val="00E01138"/>
    <w:rsid w:val="00E25025"/>
    <w:rsid w:val="00E30A96"/>
    <w:rsid w:val="00E3430D"/>
    <w:rsid w:val="00E4255A"/>
    <w:rsid w:val="00E55597"/>
    <w:rsid w:val="00E6101F"/>
    <w:rsid w:val="00E66B83"/>
    <w:rsid w:val="00E66CCE"/>
    <w:rsid w:val="00E72354"/>
    <w:rsid w:val="00E730E4"/>
    <w:rsid w:val="00E77DA2"/>
    <w:rsid w:val="00E86088"/>
    <w:rsid w:val="00E91632"/>
    <w:rsid w:val="00EA5529"/>
    <w:rsid w:val="00EB05CC"/>
    <w:rsid w:val="00ED0F60"/>
    <w:rsid w:val="00ED11EE"/>
    <w:rsid w:val="00EE4160"/>
    <w:rsid w:val="00EF512D"/>
    <w:rsid w:val="00EF6663"/>
    <w:rsid w:val="00F12BF2"/>
    <w:rsid w:val="00F1434F"/>
    <w:rsid w:val="00F15FBC"/>
    <w:rsid w:val="00F211DE"/>
    <w:rsid w:val="00F25B9D"/>
    <w:rsid w:val="00F30929"/>
    <w:rsid w:val="00F35D23"/>
    <w:rsid w:val="00F427EC"/>
    <w:rsid w:val="00F507BA"/>
    <w:rsid w:val="00F51CF2"/>
    <w:rsid w:val="00F53126"/>
    <w:rsid w:val="00F62EFA"/>
    <w:rsid w:val="00F810F0"/>
    <w:rsid w:val="00FA49E1"/>
    <w:rsid w:val="00FA5A61"/>
    <w:rsid w:val="00FB73B4"/>
    <w:rsid w:val="00FB7DD0"/>
    <w:rsid w:val="00FE4BCD"/>
    <w:rsid w:val="00FF6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2937D"/>
  <w15:docId w15:val="{541DCC04-C210-4FFB-BCA1-F583FEC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E4"/>
    <w:pPr>
      <w:spacing w:line="240" w:lineRule="atLeast"/>
    </w:pPr>
    <w:rPr>
      <w:rFonts w:ascii="Arial" w:hAnsi="Arial"/>
      <w:color w:val="3D3935" w:themeColor="text1"/>
      <w:sz w:val="18"/>
    </w:rPr>
  </w:style>
  <w:style w:type="paragraph" w:styleId="Heading1">
    <w:name w:val="heading 1"/>
    <w:basedOn w:val="Normal"/>
    <w:next w:val="Normal"/>
    <w:link w:val="Heading1Char"/>
    <w:uiPriority w:val="9"/>
    <w:qFormat/>
    <w:rsid w:val="0077734C"/>
    <w:pPr>
      <w:keepNext/>
      <w:keepLines/>
      <w:spacing w:before="120"/>
      <w:outlineLvl w:val="0"/>
    </w:pPr>
    <w:rPr>
      <w:rFonts w:eastAsiaTheme="majorEastAsia" w:cstheme="majorBidi"/>
      <w:b/>
      <w:bCs/>
      <w:sz w:val="24"/>
      <w:szCs w:val="32"/>
    </w:rPr>
  </w:style>
  <w:style w:type="paragraph" w:styleId="Heading2">
    <w:name w:val="heading 2"/>
    <w:basedOn w:val="Heading1"/>
    <w:next w:val="Normal"/>
    <w:link w:val="Heading2Char"/>
    <w:uiPriority w:val="9"/>
    <w:unhideWhenUsed/>
    <w:qFormat/>
    <w:rsid w:val="0077734C"/>
    <w:pPr>
      <w:spacing w:before="0"/>
      <w:outlineLvl w:val="1"/>
    </w:pPr>
    <w:rPr>
      <w:bCs w:val="0"/>
      <w:sz w:val="18"/>
      <w:szCs w:val="26"/>
    </w:rPr>
  </w:style>
  <w:style w:type="paragraph" w:styleId="Heading3">
    <w:name w:val="heading 3"/>
    <w:basedOn w:val="Normal"/>
    <w:next w:val="Normal"/>
    <w:link w:val="Heading3Char"/>
    <w:uiPriority w:val="9"/>
    <w:semiHidden/>
    <w:unhideWhenUsed/>
    <w:qFormat/>
    <w:rsid w:val="0077734C"/>
    <w:pPr>
      <w:keepNext/>
      <w:keepLines/>
      <w:spacing w:before="200"/>
      <w:outlineLvl w:val="2"/>
    </w:pPr>
    <w:rPr>
      <w:rFonts w:eastAsiaTheme="majorEastAsia" w:cstheme="majorBidi"/>
      <w:b/>
      <w:bCs/>
    </w:rPr>
  </w:style>
  <w:style w:type="paragraph" w:styleId="Heading5">
    <w:name w:val="heading 5"/>
    <w:basedOn w:val="Normal"/>
    <w:next w:val="Normal"/>
    <w:link w:val="Heading5Char"/>
    <w:uiPriority w:val="9"/>
    <w:semiHidden/>
    <w:unhideWhenUsed/>
    <w:qFormat/>
    <w:rsid w:val="00763CAB"/>
    <w:pPr>
      <w:keepNext/>
      <w:keepLines/>
      <w:spacing w:before="200"/>
      <w:outlineLvl w:val="4"/>
    </w:pPr>
    <w:rPr>
      <w:rFonts w:asciiTheme="majorHAnsi" w:eastAsiaTheme="majorEastAsia" w:hAnsiTheme="majorHAnsi" w:cstheme="majorBidi"/>
      <w:color w:val="7D250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5025"/>
    <w:pPr>
      <w:tabs>
        <w:tab w:val="center" w:pos="4320"/>
        <w:tab w:val="right" w:pos="8640"/>
      </w:tabs>
    </w:pPr>
  </w:style>
  <w:style w:type="character" w:customStyle="1" w:styleId="HeaderChar">
    <w:name w:val="Header Char"/>
    <w:basedOn w:val="DefaultParagraphFont"/>
    <w:link w:val="Header"/>
    <w:uiPriority w:val="99"/>
    <w:rsid w:val="00E25025"/>
  </w:style>
  <w:style w:type="paragraph" w:styleId="Footer">
    <w:name w:val="footer"/>
    <w:basedOn w:val="Normal"/>
    <w:link w:val="FooterChar"/>
    <w:unhideWhenUsed/>
    <w:rsid w:val="00E25025"/>
    <w:pPr>
      <w:tabs>
        <w:tab w:val="center" w:pos="4320"/>
        <w:tab w:val="right" w:pos="8640"/>
      </w:tabs>
    </w:pPr>
  </w:style>
  <w:style w:type="character" w:customStyle="1" w:styleId="FooterChar">
    <w:name w:val="Footer Char"/>
    <w:basedOn w:val="DefaultParagraphFont"/>
    <w:link w:val="Footer"/>
    <w:uiPriority w:val="99"/>
    <w:rsid w:val="00E25025"/>
  </w:style>
  <w:style w:type="paragraph" w:styleId="BalloonText">
    <w:name w:val="Balloon Text"/>
    <w:basedOn w:val="Normal"/>
    <w:link w:val="BalloonTextChar"/>
    <w:uiPriority w:val="99"/>
    <w:semiHidden/>
    <w:unhideWhenUsed/>
    <w:rsid w:val="00E25025"/>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25025"/>
    <w:rPr>
      <w:rFonts w:ascii="Lucida Grande" w:hAnsi="Lucida Grande" w:cs="Lucida Grande"/>
      <w:sz w:val="18"/>
      <w:szCs w:val="18"/>
    </w:rPr>
  </w:style>
  <w:style w:type="paragraph" w:customStyle="1" w:styleId="BodyCopy">
    <w:name w:val="Body Copy"/>
    <w:basedOn w:val="Normal"/>
    <w:uiPriority w:val="99"/>
    <w:rsid w:val="00E25025"/>
    <w:pPr>
      <w:widowControl w:val="0"/>
      <w:autoSpaceDE w:val="0"/>
      <w:autoSpaceDN w:val="0"/>
      <w:adjustRightInd w:val="0"/>
      <w:textAlignment w:val="center"/>
    </w:pPr>
    <w:rPr>
      <w:rFonts w:ascii="SofiaProLight" w:hAnsi="SofiaProLight" w:cs="SofiaProLight"/>
      <w:color w:val="3E3B38"/>
      <w:spacing w:val="-2"/>
      <w:sz w:val="17"/>
      <w:szCs w:val="17"/>
    </w:rPr>
  </w:style>
  <w:style w:type="character" w:customStyle="1" w:styleId="Heading1Char">
    <w:name w:val="Heading 1 Char"/>
    <w:basedOn w:val="DefaultParagraphFont"/>
    <w:link w:val="Heading1"/>
    <w:uiPriority w:val="9"/>
    <w:rsid w:val="0077734C"/>
    <w:rPr>
      <w:rFonts w:ascii="Arial" w:eastAsiaTheme="majorEastAsia" w:hAnsi="Arial" w:cstheme="majorBidi"/>
      <w:b/>
      <w:bCs/>
      <w:color w:val="3D3935" w:themeColor="text1"/>
      <w:szCs w:val="32"/>
    </w:rPr>
  </w:style>
  <w:style w:type="character" w:customStyle="1" w:styleId="Heading2Char">
    <w:name w:val="Heading 2 Char"/>
    <w:basedOn w:val="DefaultParagraphFont"/>
    <w:link w:val="Heading2"/>
    <w:uiPriority w:val="9"/>
    <w:rsid w:val="0077734C"/>
    <w:rPr>
      <w:rFonts w:ascii="Arial" w:eastAsiaTheme="majorEastAsia" w:hAnsi="Arial" w:cstheme="majorBidi"/>
      <w:b/>
      <w:color w:val="3D3935" w:themeColor="text1"/>
      <w:sz w:val="18"/>
      <w:szCs w:val="26"/>
    </w:rPr>
  </w:style>
  <w:style w:type="character" w:customStyle="1" w:styleId="Heading3Char">
    <w:name w:val="Heading 3 Char"/>
    <w:basedOn w:val="DefaultParagraphFont"/>
    <w:link w:val="Heading3"/>
    <w:uiPriority w:val="9"/>
    <w:semiHidden/>
    <w:rsid w:val="0077734C"/>
    <w:rPr>
      <w:rFonts w:ascii="Arial" w:eastAsiaTheme="majorEastAsia" w:hAnsi="Arial" w:cstheme="majorBidi"/>
      <w:b/>
      <w:bCs/>
      <w:color w:val="3D3935" w:themeColor="text1"/>
      <w:sz w:val="18"/>
    </w:rPr>
  </w:style>
  <w:style w:type="paragraph" w:styleId="Title">
    <w:name w:val="Title"/>
    <w:basedOn w:val="Normal"/>
    <w:next w:val="Normal"/>
    <w:link w:val="TitleChar"/>
    <w:uiPriority w:val="10"/>
    <w:rsid w:val="0049058E"/>
    <w:pPr>
      <w:pBdr>
        <w:bottom w:val="single" w:sz="8" w:space="4" w:color="FC4C02" w:themeColor="accent1"/>
      </w:pBdr>
      <w:spacing w:after="300" w:line="240" w:lineRule="auto"/>
      <w:contextualSpacing/>
    </w:pPr>
    <w:rPr>
      <w:rFonts w:asciiTheme="majorHAnsi" w:eastAsiaTheme="majorEastAsia" w:hAnsiTheme="majorHAnsi" w:cstheme="majorBidi"/>
      <w:color w:val="2D2A27" w:themeColor="text2" w:themeShade="BF"/>
      <w:spacing w:val="5"/>
      <w:kern w:val="28"/>
      <w:sz w:val="52"/>
      <w:szCs w:val="52"/>
    </w:rPr>
  </w:style>
  <w:style w:type="character" w:customStyle="1" w:styleId="TitleChar">
    <w:name w:val="Title Char"/>
    <w:basedOn w:val="DefaultParagraphFont"/>
    <w:link w:val="Title"/>
    <w:uiPriority w:val="10"/>
    <w:rsid w:val="0049058E"/>
    <w:rPr>
      <w:rFonts w:asciiTheme="majorHAnsi" w:eastAsiaTheme="majorEastAsia" w:hAnsiTheme="majorHAnsi" w:cstheme="majorBidi"/>
      <w:color w:val="2D2A27" w:themeColor="text2" w:themeShade="BF"/>
      <w:spacing w:val="5"/>
      <w:kern w:val="28"/>
      <w:sz w:val="52"/>
      <w:szCs w:val="52"/>
    </w:rPr>
  </w:style>
  <w:style w:type="paragraph" w:styleId="Subtitle">
    <w:name w:val="Subtitle"/>
    <w:basedOn w:val="Normal"/>
    <w:next w:val="Normal"/>
    <w:link w:val="SubtitleChar"/>
    <w:uiPriority w:val="11"/>
    <w:rsid w:val="0077734C"/>
    <w:pPr>
      <w:numPr>
        <w:ilvl w:val="1"/>
      </w:numPr>
    </w:pPr>
    <w:rPr>
      <w:rFonts w:asciiTheme="majorHAnsi" w:eastAsiaTheme="majorEastAsia" w:hAnsiTheme="majorHAnsi" w:cstheme="majorBidi"/>
      <w:i/>
      <w:iCs/>
      <w:color w:val="FC4C02" w:themeColor="accent1"/>
      <w:spacing w:val="15"/>
      <w:sz w:val="24"/>
    </w:rPr>
  </w:style>
  <w:style w:type="character" w:customStyle="1" w:styleId="SubtitleChar">
    <w:name w:val="Subtitle Char"/>
    <w:basedOn w:val="DefaultParagraphFont"/>
    <w:link w:val="Subtitle"/>
    <w:uiPriority w:val="11"/>
    <w:rsid w:val="0077734C"/>
    <w:rPr>
      <w:rFonts w:asciiTheme="majorHAnsi" w:eastAsiaTheme="majorEastAsia" w:hAnsiTheme="majorHAnsi" w:cstheme="majorBidi"/>
      <w:i/>
      <w:iCs/>
      <w:color w:val="FC4C02" w:themeColor="accent1"/>
      <w:spacing w:val="15"/>
    </w:rPr>
  </w:style>
  <w:style w:type="character" w:styleId="SubtleEmphasis">
    <w:name w:val="Subtle Emphasis"/>
    <w:basedOn w:val="DefaultParagraphFont"/>
    <w:uiPriority w:val="19"/>
    <w:qFormat/>
    <w:rsid w:val="0077734C"/>
    <w:rPr>
      <w:i/>
      <w:iCs/>
      <w:color w:val="A39C95" w:themeColor="text1" w:themeTint="7F"/>
    </w:rPr>
  </w:style>
  <w:style w:type="character" w:styleId="IntenseEmphasis">
    <w:name w:val="Intense Emphasis"/>
    <w:basedOn w:val="DefaultParagraphFont"/>
    <w:uiPriority w:val="21"/>
    <w:qFormat/>
    <w:rsid w:val="000E71B9"/>
    <w:rPr>
      <w:rFonts w:asciiTheme="minorHAnsi" w:hAnsiTheme="minorHAnsi"/>
      <w:b w:val="0"/>
      <w:bCs/>
      <w:i/>
      <w:iCs/>
      <w:color w:val="FC4C02" w:themeColor="accent1"/>
    </w:rPr>
  </w:style>
  <w:style w:type="character" w:styleId="Emphasis">
    <w:name w:val="Emphasis"/>
    <w:basedOn w:val="DefaultParagraphFont"/>
    <w:uiPriority w:val="20"/>
    <w:qFormat/>
    <w:rsid w:val="000E71B9"/>
    <w:rPr>
      <w:i/>
      <w:iCs/>
    </w:rPr>
  </w:style>
  <w:style w:type="character" w:styleId="Strong">
    <w:name w:val="Strong"/>
    <w:basedOn w:val="DefaultParagraphFont"/>
    <w:uiPriority w:val="22"/>
    <w:rsid w:val="000E71B9"/>
    <w:rPr>
      <w:b/>
      <w:bCs/>
    </w:rPr>
  </w:style>
  <w:style w:type="paragraph" w:styleId="Quote">
    <w:name w:val="Quote"/>
    <w:basedOn w:val="Normal"/>
    <w:next w:val="Normal"/>
    <w:link w:val="QuoteChar"/>
    <w:uiPriority w:val="29"/>
    <w:qFormat/>
    <w:rsid w:val="000E71B9"/>
    <w:rPr>
      <w:i/>
      <w:iCs/>
      <w:color w:val="75787B" w:themeColor="accent3"/>
    </w:rPr>
  </w:style>
  <w:style w:type="character" w:customStyle="1" w:styleId="QuoteChar">
    <w:name w:val="Quote Char"/>
    <w:basedOn w:val="DefaultParagraphFont"/>
    <w:link w:val="Quote"/>
    <w:uiPriority w:val="29"/>
    <w:rsid w:val="000E71B9"/>
    <w:rPr>
      <w:rFonts w:ascii="Arial" w:hAnsi="Arial"/>
      <w:i/>
      <w:iCs/>
      <w:color w:val="75787B" w:themeColor="accent3"/>
      <w:sz w:val="18"/>
    </w:rPr>
  </w:style>
  <w:style w:type="paragraph" w:styleId="IntenseQuote">
    <w:name w:val="Intense Quote"/>
    <w:basedOn w:val="Normal"/>
    <w:next w:val="Normal"/>
    <w:link w:val="IntenseQuoteChar"/>
    <w:uiPriority w:val="30"/>
    <w:rsid w:val="000E71B9"/>
    <w:pPr>
      <w:pBdr>
        <w:bottom w:val="single" w:sz="4" w:space="4" w:color="FC4C02" w:themeColor="accent1"/>
      </w:pBdr>
      <w:spacing w:before="200" w:after="280"/>
      <w:ind w:left="936" w:right="936"/>
    </w:pPr>
    <w:rPr>
      <w:b/>
      <w:bCs/>
      <w:i/>
      <w:iCs/>
      <w:color w:val="FC4C02" w:themeColor="accent1"/>
    </w:rPr>
  </w:style>
  <w:style w:type="character" w:customStyle="1" w:styleId="IntenseQuoteChar">
    <w:name w:val="Intense Quote Char"/>
    <w:basedOn w:val="DefaultParagraphFont"/>
    <w:link w:val="IntenseQuote"/>
    <w:uiPriority w:val="30"/>
    <w:rsid w:val="000E71B9"/>
    <w:rPr>
      <w:rFonts w:ascii="Arial" w:hAnsi="Arial"/>
      <w:b/>
      <w:bCs/>
      <w:i/>
      <w:iCs/>
      <w:color w:val="FC4C02" w:themeColor="accent1"/>
      <w:sz w:val="18"/>
    </w:rPr>
  </w:style>
  <w:style w:type="paragraph" w:styleId="NormalWeb">
    <w:name w:val="Normal (Web)"/>
    <w:basedOn w:val="Normal"/>
    <w:uiPriority w:val="99"/>
    <w:semiHidden/>
    <w:unhideWhenUsed/>
    <w:rsid w:val="000E71B9"/>
    <w:pPr>
      <w:spacing w:before="100" w:beforeAutospacing="1" w:after="100" w:afterAutospacing="1" w:line="240" w:lineRule="auto"/>
    </w:pPr>
    <w:rPr>
      <w:rFonts w:ascii="Times" w:hAnsi="Times" w:cs="Times New Roman"/>
      <w:sz w:val="20"/>
      <w:szCs w:val="20"/>
    </w:rPr>
  </w:style>
  <w:style w:type="paragraph" w:customStyle="1" w:styleId="Bullet1">
    <w:name w:val="Bullet 1"/>
    <w:basedOn w:val="Normal"/>
    <w:qFormat/>
    <w:rsid w:val="00E730E4"/>
    <w:pPr>
      <w:numPr>
        <w:numId w:val="3"/>
      </w:numPr>
      <w:ind w:left="360"/>
    </w:pPr>
  </w:style>
  <w:style w:type="paragraph" w:customStyle="1" w:styleId="Bullet2">
    <w:name w:val="Bullet 2"/>
    <w:basedOn w:val="Bullet1"/>
    <w:qFormat/>
    <w:rsid w:val="00E730E4"/>
    <w:pPr>
      <w:numPr>
        <w:numId w:val="1"/>
      </w:numPr>
    </w:pPr>
  </w:style>
  <w:style w:type="paragraph" w:styleId="ListParagraph">
    <w:name w:val="List Paragraph"/>
    <w:basedOn w:val="Normal"/>
    <w:uiPriority w:val="34"/>
    <w:qFormat/>
    <w:rsid w:val="00505778"/>
    <w:pPr>
      <w:ind w:left="720"/>
      <w:contextualSpacing/>
    </w:pPr>
  </w:style>
  <w:style w:type="character" w:styleId="PlaceholderText">
    <w:name w:val="Placeholder Text"/>
    <w:basedOn w:val="DefaultParagraphFont"/>
    <w:uiPriority w:val="99"/>
    <w:semiHidden/>
    <w:rsid w:val="00CE44BB"/>
    <w:rPr>
      <w:color w:val="808080"/>
    </w:rPr>
  </w:style>
  <w:style w:type="character" w:customStyle="1" w:styleId="Heading5Char">
    <w:name w:val="Heading 5 Char"/>
    <w:basedOn w:val="DefaultParagraphFont"/>
    <w:link w:val="Heading5"/>
    <w:uiPriority w:val="9"/>
    <w:semiHidden/>
    <w:rsid w:val="00763CAB"/>
    <w:rPr>
      <w:rFonts w:asciiTheme="majorHAnsi" w:eastAsiaTheme="majorEastAsia" w:hAnsiTheme="majorHAnsi" w:cstheme="majorBidi"/>
      <w:color w:val="7D2501" w:themeColor="accent1" w:themeShade="7F"/>
      <w:sz w:val="18"/>
    </w:rPr>
  </w:style>
  <w:style w:type="character" w:customStyle="1" w:styleId="Style1">
    <w:name w:val="Style1"/>
    <w:basedOn w:val="DefaultParagraphFont"/>
    <w:uiPriority w:val="1"/>
    <w:rsid w:val="00C10359"/>
    <w:rPr>
      <w:color w:val="002060"/>
    </w:rPr>
  </w:style>
  <w:style w:type="character" w:customStyle="1" w:styleId="Style2">
    <w:name w:val="Style2"/>
    <w:basedOn w:val="DefaultParagraphFont"/>
    <w:uiPriority w:val="1"/>
    <w:rsid w:val="00C10359"/>
    <w:rPr>
      <w:color w:val="0000FF"/>
    </w:rPr>
  </w:style>
  <w:style w:type="paragraph" w:customStyle="1" w:styleId="OutlineBullet">
    <w:name w:val="Outline Bullet"/>
    <w:basedOn w:val="Normal"/>
    <w:qFormat/>
    <w:rsid w:val="00243D05"/>
    <w:pPr>
      <w:ind w:left="360" w:hanging="360"/>
    </w:pPr>
  </w:style>
  <w:style w:type="table" w:styleId="TableGrid">
    <w:name w:val="Table Grid"/>
    <w:basedOn w:val="TableNormal"/>
    <w:rsid w:val="0024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EC2"/>
    <w:rPr>
      <w:sz w:val="16"/>
      <w:szCs w:val="16"/>
    </w:rPr>
  </w:style>
  <w:style w:type="paragraph" w:styleId="CommentText">
    <w:name w:val="annotation text"/>
    <w:basedOn w:val="Normal"/>
    <w:link w:val="CommentTextChar"/>
    <w:uiPriority w:val="99"/>
    <w:semiHidden/>
    <w:unhideWhenUsed/>
    <w:rsid w:val="00351EC2"/>
    <w:pPr>
      <w:spacing w:line="240" w:lineRule="auto"/>
    </w:pPr>
    <w:rPr>
      <w:sz w:val="20"/>
      <w:szCs w:val="20"/>
    </w:rPr>
  </w:style>
  <w:style w:type="character" w:customStyle="1" w:styleId="CommentTextChar">
    <w:name w:val="Comment Text Char"/>
    <w:basedOn w:val="DefaultParagraphFont"/>
    <w:link w:val="CommentText"/>
    <w:uiPriority w:val="99"/>
    <w:semiHidden/>
    <w:rsid w:val="00351EC2"/>
    <w:rPr>
      <w:rFonts w:ascii="Arial" w:hAnsi="Arial"/>
      <w:color w:val="3D3935" w:themeColor="text1"/>
      <w:sz w:val="20"/>
      <w:szCs w:val="20"/>
    </w:rPr>
  </w:style>
  <w:style w:type="paragraph" w:styleId="CommentSubject">
    <w:name w:val="annotation subject"/>
    <w:basedOn w:val="CommentText"/>
    <w:next w:val="CommentText"/>
    <w:link w:val="CommentSubjectChar"/>
    <w:uiPriority w:val="99"/>
    <w:semiHidden/>
    <w:unhideWhenUsed/>
    <w:rsid w:val="00351EC2"/>
    <w:rPr>
      <w:b/>
      <w:bCs/>
    </w:rPr>
  </w:style>
  <w:style w:type="character" w:customStyle="1" w:styleId="CommentSubjectChar">
    <w:name w:val="Comment Subject Char"/>
    <w:basedOn w:val="CommentTextChar"/>
    <w:link w:val="CommentSubject"/>
    <w:uiPriority w:val="99"/>
    <w:semiHidden/>
    <w:rsid w:val="00351EC2"/>
    <w:rPr>
      <w:rFonts w:ascii="Arial" w:hAnsi="Arial"/>
      <w:b/>
      <w:bCs/>
      <w:color w:val="3D3935"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3360">
      <w:bodyDiv w:val="1"/>
      <w:marLeft w:val="0"/>
      <w:marRight w:val="0"/>
      <w:marTop w:val="0"/>
      <w:marBottom w:val="0"/>
      <w:divBdr>
        <w:top w:val="none" w:sz="0" w:space="0" w:color="auto"/>
        <w:left w:val="none" w:sz="0" w:space="0" w:color="auto"/>
        <w:bottom w:val="none" w:sz="0" w:space="0" w:color="auto"/>
        <w:right w:val="none" w:sz="0" w:space="0" w:color="auto"/>
      </w:divBdr>
    </w:div>
    <w:div w:id="586547740">
      <w:bodyDiv w:val="1"/>
      <w:marLeft w:val="0"/>
      <w:marRight w:val="0"/>
      <w:marTop w:val="0"/>
      <w:marBottom w:val="0"/>
      <w:divBdr>
        <w:top w:val="none" w:sz="0" w:space="0" w:color="auto"/>
        <w:left w:val="none" w:sz="0" w:space="0" w:color="auto"/>
        <w:bottom w:val="none" w:sz="0" w:space="0" w:color="auto"/>
        <w:right w:val="none" w:sz="0" w:space="0" w:color="auto"/>
      </w:divBdr>
    </w:div>
    <w:div w:id="1362584857">
      <w:bodyDiv w:val="1"/>
      <w:marLeft w:val="0"/>
      <w:marRight w:val="0"/>
      <w:marTop w:val="0"/>
      <w:marBottom w:val="0"/>
      <w:divBdr>
        <w:top w:val="none" w:sz="0" w:space="0" w:color="auto"/>
        <w:left w:val="none" w:sz="0" w:space="0" w:color="auto"/>
        <w:bottom w:val="none" w:sz="0" w:space="0" w:color="auto"/>
        <w:right w:val="none" w:sz="0" w:space="0" w:color="auto"/>
      </w:divBdr>
    </w:div>
    <w:div w:id="2056851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lman\AppData\Local\Microsoft\Windows\Temporary%20Internet%20Files\Content.Outlook\7PG1WGN4\Southland%20PSA%20Proposal%20TCs.dotx" TargetMode="External"/></Relationships>
</file>

<file path=word/theme/theme1.xml><?xml version="1.0" encoding="utf-8"?>
<a:theme xmlns:a="http://schemas.openxmlformats.org/drawingml/2006/main" name="SouthlandInd">
  <a:themeElements>
    <a:clrScheme name="Southland">
      <a:dk1>
        <a:srgbClr val="3D3935"/>
      </a:dk1>
      <a:lt1>
        <a:srgbClr val="FFFFFF"/>
      </a:lt1>
      <a:dk2>
        <a:srgbClr val="3D3935"/>
      </a:dk2>
      <a:lt2>
        <a:srgbClr val="FFFFFF"/>
      </a:lt2>
      <a:accent1>
        <a:srgbClr val="FC4C02"/>
      </a:accent1>
      <a:accent2>
        <a:srgbClr val="D0D0CE"/>
      </a:accent2>
      <a:accent3>
        <a:srgbClr val="75787B"/>
      </a:accent3>
      <a:accent4>
        <a:srgbClr val="CBC4BC"/>
      </a:accent4>
      <a:accent5>
        <a:srgbClr val="968C83"/>
      </a:accent5>
      <a:accent6>
        <a:srgbClr val="6E6259"/>
      </a:accent6>
      <a:hlink>
        <a:srgbClr val="FC4C02"/>
      </a:hlink>
      <a:folHlink>
        <a:srgbClr val="FC4C0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b3b297-8765-46b0-86f0-87a7cc5d7dea" xsi:nil="true"/>
    <lcf76f155ced4ddcb4097134ff3c332f xmlns="094c8f32-da34-4553-8b7d-7f73b9164f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DC122012887D45BD23B70DC0EBF1D8" ma:contentTypeVersion="11" ma:contentTypeDescription="Create a new document." ma:contentTypeScope="" ma:versionID="6c673f1bd66c4f07adc4b6726303f91e">
  <xsd:schema xmlns:xsd="http://www.w3.org/2001/XMLSchema" xmlns:xs="http://www.w3.org/2001/XMLSchema" xmlns:p="http://schemas.microsoft.com/office/2006/metadata/properties" xmlns:ns2="094c8f32-da34-4553-8b7d-7f73b9164fe5" xmlns:ns3="32b3b297-8765-46b0-86f0-87a7cc5d7dea" targetNamespace="http://schemas.microsoft.com/office/2006/metadata/properties" ma:root="true" ma:fieldsID="5f80cf53dd4caaa29579d494e5abb98e" ns2:_="" ns3:_="">
    <xsd:import namespace="094c8f32-da34-4553-8b7d-7f73b9164fe5"/>
    <xsd:import namespace="32b3b297-8765-46b0-86f0-87a7cc5d7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c8f32-da34-4553-8b7d-7f73b9164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e204cc-709f-4523-aa60-4d82a572c1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b3b297-8765-46b0-86f0-87a7cc5d7de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976f57-7d2a-4799-9942-0ed726535bcf}" ma:internalName="TaxCatchAll" ma:showField="CatchAllData" ma:web="32b3b297-8765-46b0-86f0-87a7cc5d7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2AC4B-47A1-4DF7-A469-56AA16A7CBD1}">
  <ds:schemaRefs>
    <ds:schemaRef ds:uri="http://schemas.openxmlformats.org/officeDocument/2006/bibliography"/>
  </ds:schemaRefs>
</ds:datastoreItem>
</file>

<file path=customXml/itemProps2.xml><?xml version="1.0" encoding="utf-8"?>
<ds:datastoreItem xmlns:ds="http://schemas.openxmlformats.org/officeDocument/2006/customXml" ds:itemID="{2CC5E5C7-2BE9-49D8-B945-3762389C0F23}">
  <ds:schemaRefs>
    <ds:schemaRef ds:uri="http://schemas.microsoft.com/sharepoint/v3/contenttype/forms"/>
  </ds:schemaRefs>
</ds:datastoreItem>
</file>

<file path=customXml/itemProps3.xml><?xml version="1.0" encoding="utf-8"?>
<ds:datastoreItem xmlns:ds="http://schemas.openxmlformats.org/officeDocument/2006/customXml" ds:itemID="{837E158B-90EA-4D1A-A9CE-2BC805330650}">
  <ds:schemaRefs>
    <ds:schemaRef ds:uri="http://schemas.microsoft.com/office/2006/metadata/properties"/>
    <ds:schemaRef ds:uri="http://schemas.microsoft.com/office/infopath/2007/PartnerControls"/>
    <ds:schemaRef ds:uri="32b3b297-8765-46b0-86f0-87a7cc5d7dea"/>
    <ds:schemaRef ds:uri="094c8f32-da34-4553-8b7d-7f73b9164fe5"/>
  </ds:schemaRefs>
</ds:datastoreItem>
</file>

<file path=customXml/itemProps4.xml><?xml version="1.0" encoding="utf-8"?>
<ds:datastoreItem xmlns:ds="http://schemas.openxmlformats.org/officeDocument/2006/customXml" ds:itemID="{85CD36F9-B162-4C34-8A7D-F96645B7F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c8f32-da34-4553-8b7d-7f73b9164fe5"/>
    <ds:schemaRef ds:uri="32b3b297-8765-46b0-86f0-87a7cc5d7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bc7125-26f4-49fd-b7be-88c357fac9f3}" enabled="0" method="" siteId="{18bc7125-26f4-49fd-b7be-88c357fac9f3}" removed="1"/>
</clbl:labelList>
</file>

<file path=docProps/app.xml><?xml version="1.0" encoding="utf-8"?>
<Properties xmlns="http://schemas.openxmlformats.org/officeDocument/2006/extended-properties" xmlns:vt="http://schemas.openxmlformats.org/officeDocument/2006/docPropsVTypes">
  <Template>Southland PSA Proposal TCs</Template>
  <TotalTime>0</TotalTime>
  <Pages>3</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Gilman</dc:creator>
  <cp:keywords/>
  <cp:lastModifiedBy>Kathryn Fox</cp:lastModifiedBy>
  <cp:revision>2</cp:revision>
  <cp:lastPrinted>2013-07-01T20:07:00Z</cp:lastPrinted>
  <dcterms:created xsi:type="dcterms:W3CDTF">2025-12-26T16:35:00Z</dcterms:created>
  <dcterms:modified xsi:type="dcterms:W3CDTF">2025-12-26T16:35:00Z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0x010100E5DC122012887D45BD23B70DC0EBF1D8</vt:lpwstr>
  </property>
  <property fmtid="{D5CDD505-2E9C-101B-9397-08002B2CF9AE}" pid="3" name="TemplateCategory">
    <vt:lpwstr>58;#Stationery|44faed2e-74cf-47cc-9693-00f9db1fbd45</vt:lpwstr>
  </property>
  <property fmtid="{D5CDD505-2E9C-101B-9397-08002B2CF9AE}" pid="4" name="Division">
    <vt:lpwstr>9;#Mid-Atlantic|d324aea7-4307-411a-9289-da5efe5fccb8</vt:lpwstr>
  </property>
  <property fmtid="{D5CDD505-2E9C-101B-9397-08002B2CF9AE}" pid="5" name="ConnectCategory">
    <vt:lpwstr>6;#Marketing|7d51cb4e-0d0f-47ac-b8cc-b652b7dac084</vt:lpwstr>
  </property>
</Properties>
</file>